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75" w:rsidRPr="00411226" w:rsidRDefault="00A47175" w:rsidP="000608CF">
      <w:pPr>
        <w:ind w:right="1"/>
        <w:jc w:val="center"/>
        <w:rPr>
          <w:rStyle w:val="PageNumber"/>
          <w:b/>
          <w:bCs/>
          <w:lang w:val="en-US"/>
        </w:rPr>
      </w:pPr>
      <w:r w:rsidRPr="00411226">
        <w:rPr>
          <w:rStyle w:val="PageNumber"/>
          <w:b/>
          <w:bCs/>
        </w:rPr>
        <w:t>ОТЧЕТ</w:t>
      </w:r>
    </w:p>
    <w:p w:rsidR="003001A4" w:rsidRPr="00411226" w:rsidRDefault="003001A4" w:rsidP="000608CF">
      <w:pPr>
        <w:ind w:right="-425"/>
        <w:jc w:val="center"/>
        <w:rPr>
          <w:rStyle w:val="PageNumber"/>
          <w:b/>
          <w:bCs/>
          <w:u w:val="single"/>
        </w:rPr>
      </w:pPr>
    </w:p>
    <w:p w:rsidR="00A47175" w:rsidRPr="00411226" w:rsidRDefault="00A47175" w:rsidP="000608CF">
      <w:pPr>
        <w:ind w:left="1418" w:right="1" w:hanging="1418"/>
        <w:jc w:val="both"/>
      </w:pPr>
      <w:r w:rsidRPr="00411226">
        <w:rPr>
          <w:rStyle w:val="PageNumber"/>
          <w:b/>
          <w:bCs/>
          <w:u w:val="single"/>
        </w:rPr>
        <w:t>ОТНОСНО:</w:t>
      </w:r>
      <w:r w:rsidRPr="00411226">
        <w:rPr>
          <w:rStyle w:val="PageNumber"/>
          <w:b/>
          <w:bCs/>
          <w:lang w:val="ru-RU"/>
        </w:rPr>
        <w:t xml:space="preserve"> </w:t>
      </w:r>
      <w:r w:rsidR="003001A4" w:rsidRPr="00411226">
        <w:rPr>
          <w:rStyle w:val="PageNumber"/>
          <w:b/>
          <w:bCs/>
        </w:rPr>
        <w:t>Дейността на Инспекторат на Министерството на външните работи п</w:t>
      </w:r>
      <w:r w:rsidR="00D77433">
        <w:rPr>
          <w:rStyle w:val="PageNumber"/>
          <w:b/>
          <w:bCs/>
        </w:rPr>
        <w:t>рез 202</w:t>
      </w:r>
      <w:r w:rsidR="00D77433" w:rsidRPr="00D77433">
        <w:rPr>
          <w:rStyle w:val="PageNumber"/>
          <w:b/>
          <w:bCs/>
        </w:rPr>
        <w:t>2</w:t>
      </w:r>
      <w:r w:rsidR="003001A4" w:rsidRPr="00411226">
        <w:rPr>
          <w:rStyle w:val="PageNumber"/>
          <w:b/>
          <w:bCs/>
        </w:rPr>
        <w:t xml:space="preserve"> г.</w:t>
      </w:r>
    </w:p>
    <w:p w:rsidR="00093254" w:rsidRPr="00411226" w:rsidRDefault="00093254" w:rsidP="000608CF">
      <w:pPr>
        <w:ind w:right="-425"/>
        <w:jc w:val="both"/>
      </w:pPr>
    </w:p>
    <w:p w:rsidR="00B5221A" w:rsidRPr="00411226" w:rsidRDefault="00432A45" w:rsidP="000608CF">
      <w:pPr>
        <w:ind w:right="1"/>
        <w:jc w:val="both"/>
        <w:rPr>
          <w:color w:val="000000"/>
          <w:spacing w:val="-1"/>
        </w:rPr>
      </w:pPr>
      <w:r>
        <w:t>Инспекторат</w:t>
      </w:r>
      <w:r w:rsidR="00B5221A" w:rsidRPr="00411226">
        <w:t xml:space="preserve"> на Министерството на </w:t>
      </w:r>
      <w:r w:rsidR="00D77433">
        <w:t>външните работи (МВнР) през 2022</w:t>
      </w:r>
      <w:r w:rsidR="00B5221A" w:rsidRPr="00411226">
        <w:t xml:space="preserve"> г. осъществяваше своята дейност в изпълнение на утвърдения годишен план, както и на вси</w:t>
      </w:r>
      <w:r w:rsidR="000608CF">
        <w:t>чки други задачи, възложени от м</w:t>
      </w:r>
      <w:r w:rsidR="00B5221A" w:rsidRPr="00411226">
        <w:t xml:space="preserve">инистъра на външните работи и свързани с упражняването на специализиран и общ </w:t>
      </w:r>
      <w:r w:rsidR="00B5221A" w:rsidRPr="00411226">
        <w:rPr>
          <w:color w:val="000000"/>
          <w:spacing w:val="-1"/>
        </w:rPr>
        <w:t>контрол върху дейността на Централното управление (ЦУ) на МВнР и на задграничните представителства (ЗП) на Република България.</w:t>
      </w:r>
    </w:p>
    <w:p w:rsidR="0083731B" w:rsidRPr="00411226" w:rsidRDefault="0083731B" w:rsidP="000608CF">
      <w:pPr>
        <w:shd w:val="clear" w:color="auto" w:fill="FEFEFE"/>
        <w:ind w:right="1"/>
        <w:jc w:val="both"/>
      </w:pPr>
    </w:p>
    <w:p w:rsidR="00B5221A" w:rsidRPr="00411226" w:rsidRDefault="00E36EC7" w:rsidP="000608CF">
      <w:pPr>
        <w:shd w:val="clear" w:color="auto" w:fill="FEFEFE"/>
        <w:ind w:right="1"/>
        <w:jc w:val="both"/>
      </w:pPr>
      <w:r w:rsidRPr="00411226">
        <w:t>И</w:t>
      </w:r>
      <w:r w:rsidR="00EA45A6" w:rsidRPr="00411226">
        <w:t>нспекторат</w:t>
      </w:r>
      <w:r w:rsidR="00B5221A" w:rsidRPr="00411226">
        <w:t xml:space="preserve"> на МВнР изпълняваше своите функции в съответствие със Закона за дипломатическата служба, Закона за администрацията, Админ</w:t>
      </w:r>
      <w:r w:rsidR="00EA45A6" w:rsidRPr="00411226">
        <w:t xml:space="preserve">истративно процесуалния кодекс, </w:t>
      </w:r>
      <w:r w:rsidR="00B5221A" w:rsidRPr="00411226">
        <w:t>Устройствения правилник на МВнР,</w:t>
      </w:r>
      <w:r w:rsidR="00732F44" w:rsidRPr="00411226">
        <w:t xml:space="preserve"> Наредбата за структурата и минималната численост на инспекторатите, реда и начина за осъществяване на дейността им и взаимодействието със специализираните контролни органи,</w:t>
      </w:r>
      <w:r w:rsidR="00B5221A" w:rsidRPr="00411226">
        <w:t xml:space="preserve"> Вътрешните правила за</w:t>
      </w:r>
      <w:r w:rsidR="00B5221A" w:rsidRPr="00411226">
        <w:rPr>
          <w:color w:val="000000"/>
          <w:spacing w:val="-1"/>
        </w:rPr>
        <w:t xml:space="preserve"> дейността на Инспектората на МВнР,</w:t>
      </w:r>
      <w:r w:rsidR="00732F44" w:rsidRPr="00411226">
        <w:t xml:space="preserve"> </w:t>
      </w:r>
      <w:r w:rsidR="00B5221A" w:rsidRPr="00411226">
        <w:t>Вътрешни правила за прилагане на Закона за противодействие на корупцията и за отнемане на незаконно придобито</w:t>
      </w:r>
      <w:r w:rsidR="000608CF">
        <w:t>то</w:t>
      </w:r>
      <w:r w:rsidR="00B5221A" w:rsidRPr="00411226">
        <w:t xml:space="preserve"> имущество и на Наредбата за организацията, реда за извършване на проверки на декларациите и установяване на конфликт на интереси в системата на МВнР.</w:t>
      </w:r>
    </w:p>
    <w:p w:rsidR="0083731B" w:rsidRPr="00411226" w:rsidRDefault="0083731B" w:rsidP="000608CF">
      <w:pPr>
        <w:shd w:val="clear" w:color="auto" w:fill="FEFEFE"/>
        <w:ind w:right="1"/>
        <w:jc w:val="both"/>
        <w:rPr>
          <w:b/>
          <w:bCs/>
          <w:color w:val="000000"/>
        </w:rPr>
      </w:pPr>
    </w:p>
    <w:p w:rsidR="004E7684" w:rsidRPr="00411226" w:rsidRDefault="001C61DE" w:rsidP="000608CF">
      <w:pPr>
        <w:shd w:val="clear" w:color="auto" w:fill="FEFEFE"/>
        <w:ind w:right="1"/>
        <w:jc w:val="both"/>
        <w:rPr>
          <w:bCs/>
          <w:color w:val="000000"/>
        </w:rPr>
      </w:pPr>
      <w:r w:rsidRPr="000608CF">
        <w:rPr>
          <w:bCs/>
          <w:color w:val="000000"/>
        </w:rPr>
        <w:t>Основни цели</w:t>
      </w:r>
      <w:r w:rsidR="003001A4" w:rsidRPr="00411226">
        <w:rPr>
          <w:bCs/>
          <w:color w:val="000000"/>
        </w:rPr>
        <w:t xml:space="preserve"> в дейността </w:t>
      </w:r>
      <w:r w:rsidRPr="00411226">
        <w:rPr>
          <w:bCs/>
          <w:color w:val="000000"/>
        </w:rPr>
        <w:t>н</w:t>
      </w:r>
      <w:r w:rsidR="00D77433">
        <w:rPr>
          <w:bCs/>
          <w:color w:val="000000"/>
        </w:rPr>
        <w:t>а Инспектората на МВнР през 2022</w:t>
      </w:r>
      <w:r w:rsidRPr="00411226">
        <w:rPr>
          <w:bCs/>
          <w:color w:val="000000"/>
        </w:rPr>
        <w:t xml:space="preserve"> г. бяха: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Предотвратяване и отстраняване на нарушения при функционирането на администрацията;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Независима и обективна оценка на дейността на администрацията;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Постигане на по-висока ефективност на дейността на администрацията, чрез формулиране на предложения/мерки за подобряване работата и отстраняване на констатираните слабости и нарушения;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Постигане на законосъобразно и правилно функциониране на администрацията чрез отстраняване на констатираните слабости и нарушения, въз основа на предложени мерки и препоръки;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 xml:space="preserve">Въвеждане на адекватни механизми за осъществяване на контрол и извършване на проверки по </w:t>
      </w:r>
      <w:r w:rsidRPr="00D77433">
        <w:rPr>
          <w:rFonts w:eastAsia="Calibri"/>
          <w:bCs/>
          <w:color w:val="000000"/>
          <w:spacing w:val="-1"/>
          <w:lang w:eastAsia="en-US"/>
        </w:rPr>
        <w:t>Закона за противодействие  на корупцията и за отнемане на незаконно придобитото имущество</w:t>
      </w:r>
      <w:r w:rsidRPr="00D77433">
        <w:rPr>
          <w:rFonts w:eastAsia="Calibri"/>
          <w:color w:val="000000"/>
          <w:spacing w:val="-1"/>
          <w:lang w:eastAsia="en-US"/>
        </w:rPr>
        <w:t>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Постигане на по-висока степен на полезно действие в работата на администрацията на МВнР и второстепенните разпоредители с бюджет чрез подобряване качеството на административното обслужване;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Осигуряване на адекватни механизми за превенция, противодействие и разкриване на корупционни прояви, измами и нередности в администрацията на министерството и второстепенните разпоредители към Министъра на външните работи;</w:t>
      </w:r>
    </w:p>
    <w:p w:rsidR="00D77433" w:rsidRPr="00D77433" w:rsidRDefault="00D77433" w:rsidP="00D77433">
      <w:pPr>
        <w:numPr>
          <w:ilvl w:val="0"/>
          <w:numId w:val="5"/>
        </w:numPr>
        <w:tabs>
          <w:tab w:val="left" w:pos="142"/>
        </w:tabs>
        <w:spacing w:after="120"/>
        <w:ind w:right="1"/>
        <w:jc w:val="both"/>
        <w:rPr>
          <w:rFonts w:eastAsia="Calibri"/>
          <w:color w:val="000000"/>
          <w:spacing w:val="-1"/>
          <w:lang w:eastAsia="en-US"/>
        </w:rPr>
      </w:pPr>
      <w:r w:rsidRPr="00D77433">
        <w:rPr>
          <w:rFonts w:eastAsia="Calibri"/>
          <w:color w:val="000000"/>
          <w:spacing w:val="-1"/>
          <w:lang w:eastAsia="en-US"/>
        </w:rPr>
        <w:t>Укрепване на административния капацитет и повишаване на професионалната квалификация на служителите в звеното, както и подобряване взаимодействието с други органи, организации и звена.</w:t>
      </w:r>
    </w:p>
    <w:p w:rsidR="003C4BE5" w:rsidRPr="00411226" w:rsidRDefault="003C4BE5" w:rsidP="000608CF">
      <w:pPr>
        <w:tabs>
          <w:tab w:val="left" w:pos="142"/>
        </w:tabs>
        <w:spacing w:after="120"/>
        <w:ind w:right="1"/>
        <w:jc w:val="both"/>
      </w:pPr>
      <w:r w:rsidRPr="00411226">
        <w:t xml:space="preserve">За постигане на поставените </w:t>
      </w:r>
      <w:r w:rsidR="00AC4742">
        <w:t>пред Инспекторат цели, през 2022</w:t>
      </w:r>
      <w:bookmarkStart w:id="0" w:name="_GoBack"/>
      <w:bookmarkEnd w:id="0"/>
      <w:r w:rsidRPr="00411226">
        <w:t xml:space="preserve"> г. бяха извършени </w:t>
      </w:r>
      <w:r w:rsidR="00D77433">
        <w:rPr>
          <w:b/>
        </w:rPr>
        <w:t>13</w:t>
      </w:r>
      <w:r w:rsidR="00B220DF">
        <w:rPr>
          <w:b/>
        </w:rPr>
        <w:t xml:space="preserve"> </w:t>
      </w:r>
      <w:r w:rsidRPr="00411226">
        <w:rPr>
          <w:b/>
        </w:rPr>
        <w:t>планови проверки</w:t>
      </w:r>
      <w:r w:rsidRPr="00411226">
        <w:t xml:space="preserve"> </w:t>
      </w:r>
      <w:r w:rsidR="00411226" w:rsidRPr="00411226">
        <w:t>(</w:t>
      </w:r>
      <w:r w:rsidR="00D77433">
        <w:t>12</w:t>
      </w:r>
      <w:r w:rsidRPr="00411226">
        <w:t xml:space="preserve"> планови проверки </w:t>
      </w:r>
      <w:r w:rsidR="00D77433">
        <w:t>във</w:t>
      </w:r>
      <w:r w:rsidRPr="00411226">
        <w:t xml:space="preserve"> второстепенните разпоредители с бюджет к</w:t>
      </w:r>
      <w:r w:rsidR="00D77433">
        <w:t>ъм м</w:t>
      </w:r>
      <w:r w:rsidR="00411226" w:rsidRPr="00411226">
        <w:t>инистъра на външните работи и една проверка</w:t>
      </w:r>
      <w:r w:rsidRPr="00411226">
        <w:t xml:space="preserve"> по реда на ЗПКОНПИ)</w:t>
      </w:r>
      <w:r w:rsidRPr="00411226">
        <w:rPr>
          <w:b/>
        </w:rPr>
        <w:t xml:space="preserve">, </w:t>
      </w:r>
      <w:r w:rsidR="00D77433">
        <w:rPr>
          <w:b/>
        </w:rPr>
        <w:t>8</w:t>
      </w:r>
      <w:r w:rsidRPr="00411226">
        <w:rPr>
          <w:b/>
        </w:rPr>
        <w:t xml:space="preserve"> </w:t>
      </w:r>
      <w:r w:rsidRPr="00411226">
        <w:rPr>
          <w:b/>
        </w:rPr>
        <w:lastRenderedPageBreak/>
        <w:t xml:space="preserve">извънпланови проверки </w:t>
      </w:r>
      <w:r w:rsidRPr="00411226">
        <w:t>и бяха</w:t>
      </w:r>
      <w:r w:rsidRPr="00411226">
        <w:rPr>
          <w:b/>
        </w:rPr>
        <w:t xml:space="preserve"> </w:t>
      </w:r>
      <w:r w:rsidRPr="00411226">
        <w:t xml:space="preserve">разгледани </w:t>
      </w:r>
      <w:r w:rsidR="00D77433">
        <w:rPr>
          <w:b/>
        </w:rPr>
        <w:t>47</w:t>
      </w:r>
      <w:r w:rsidRPr="00411226">
        <w:rPr>
          <w:b/>
        </w:rPr>
        <w:t xml:space="preserve"> сигнала </w:t>
      </w:r>
      <w:r w:rsidRPr="00411226">
        <w:t xml:space="preserve">по реда на Глава осма от Административно процесуалния кодекс (АПК). </w:t>
      </w:r>
    </w:p>
    <w:p w:rsidR="00411226" w:rsidRPr="00411226" w:rsidRDefault="000608CF" w:rsidP="000608CF">
      <w:pPr>
        <w:tabs>
          <w:tab w:val="num" w:pos="0"/>
          <w:tab w:val="left" w:pos="142"/>
        </w:tabs>
        <w:jc w:val="both"/>
      </w:pPr>
      <w:r>
        <w:rPr>
          <w:bCs/>
          <w:color w:val="000000"/>
        </w:rPr>
        <w:t>В утвърдения от м</w:t>
      </w:r>
      <w:r w:rsidR="003C4BE5" w:rsidRPr="00411226">
        <w:rPr>
          <w:bCs/>
          <w:color w:val="000000"/>
        </w:rPr>
        <w:t>инистъра на външните работи План за дейността на Инспекторат</w:t>
      </w:r>
      <w:r w:rsidR="00D77433">
        <w:rPr>
          <w:bCs/>
          <w:color w:val="000000"/>
        </w:rPr>
        <w:t xml:space="preserve"> на МВнР през 2022</w:t>
      </w:r>
      <w:r w:rsidR="003C4BE5" w:rsidRPr="00411226">
        <w:rPr>
          <w:bCs/>
          <w:color w:val="000000"/>
        </w:rPr>
        <w:t xml:space="preserve"> г. бяха включени </w:t>
      </w:r>
      <w:r w:rsidR="00D77433">
        <w:rPr>
          <w:b/>
          <w:bCs/>
          <w:color w:val="000000"/>
        </w:rPr>
        <w:t>13</w:t>
      </w:r>
      <w:r w:rsidR="003C4BE5" w:rsidRPr="00411226">
        <w:rPr>
          <w:b/>
          <w:bCs/>
          <w:color w:val="000000"/>
        </w:rPr>
        <w:t xml:space="preserve"> планови проверки</w:t>
      </w:r>
      <w:r w:rsidR="003C4BE5" w:rsidRPr="00411226">
        <w:rPr>
          <w:bCs/>
          <w:color w:val="000000"/>
        </w:rPr>
        <w:t xml:space="preserve">, в това число </w:t>
      </w:r>
      <w:r w:rsidR="00D77433">
        <w:rPr>
          <w:b/>
          <w:bCs/>
          <w:color w:val="000000"/>
        </w:rPr>
        <w:t>12</w:t>
      </w:r>
      <w:r w:rsidR="003C4BE5" w:rsidRPr="00411226">
        <w:rPr>
          <w:b/>
          <w:bCs/>
          <w:color w:val="000000"/>
        </w:rPr>
        <w:t xml:space="preserve"> проверки на второстепенни разпоредители с бюджет</w:t>
      </w:r>
      <w:r w:rsidR="003C4BE5" w:rsidRPr="00411226">
        <w:rPr>
          <w:bCs/>
          <w:color w:val="000000"/>
        </w:rPr>
        <w:t xml:space="preserve"> </w:t>
      </w:r>
      <w:r w:rsidR="00411226" w:rsidRPr="00411226">
        <w:rPr>
          <w:bCs/>
          <w:color w:val="000000"/>
        </w:rPr>
        <w:t>(</w:t>
      </w:r>
      <w:r w:rsidR="00D77433" w:rsidRPr="00D77433">
        <w:rPr>
          <w:bCs/>
          <w:color w:val="000000"/>
        </w:rPr>
        <w:t>Посолствата на Република България в Тбилиси, Рим, Ватикана, Хага, Исламабад, Виена, Мексико Сити, Загреб и Лондон, Генералните консулства в Милано и Барселона и Постоянното представителство във Виена</w:t>
      </w:r>
      <w:r w:rsidR="00B220DF">
        <w:rPr>
          <w:bCs/>
          <w:color w:val="000000"/>
        </w:rPr>
        <w:t>)</w:t>
      </w:r>
      <w:r w:rsidR="00411226" w:rsidRPr="00411226">
        <w:rPr>
          <w:bCs/>
          <w:color w:val="000000"/>
        </w:rPr>
        <w:t xml:space="preserve">. Съгласно изискванията на </w:t>
      </w:r>
      <w:r>
        <w:rPr>
          <w:bCs/>
          <w:color w:val="000000"/>
        </w:rPr>
        <w:t>ЗПКОНПИ</w:t>
      </w:r>
      <w:r w:rsidR="00411226" w:rsidRPr="00411226">
        <w:rPr>
          <w:bCs/>
          <w:color w:val="000000"/>
        </w:rPr>
        <w:t xml:space="preserve"> беше извършена и проверка за спазване на </w:t>
      </w:r>
      <w:r>
        <w:rPr>
          <w:bCs/>
          <w:color w:val="000000"/>
        </w:rPr>
        <w:t>срока</w:t>
      </w:r>
      <w:r w:rsidR="00411226" w:rsidRPr="00411226">
        <w:rPr>
          <w:bCs/>
          <w:color w:val="000000"/>
        </w:rPr>
        <w:t xml:space="preserve"> за подаване на годишни декларации по реда на чл. 35, ал.</w:t>
      </w:r>
      <w:r>
        <w:rPr>
          <w:bCs/>
          <w:color w:val="000000"/>
        </w:rPr>
        <w:t xml:space="preserve"> </w:t>
      </w:r>
      <w:r w:rsidR="00411226" w:rsidRPr="00411226">
        <w:rPr>
          <w:bCs/>
          <w:color w:val="000000"/>
        </w:rPr>
        <w:t>1, т. 2 от ЗПКОНПИ.</w:t>
      </w:r>
    </w:p>
    <w:p w:rsidR="003C4BE5" w:rsidRPr="00411226" w:rsidRDefault="003C4BE5" w:rsidP="000608CF">
      <w:pPr>
        <w:tabs>
          <w:tab w:val="num" w:pos="0"/>
          <w:tab w:val="left" w:pos="142"/>
        </w:tabs>
        <w:ind w:right="1"/>
        <w:jc w:val="both"/>
        <w:rPr>
          <w:bCs/>
          <w:color w:val="000000"/>
        </w:rPr>
      </w:pPr>
      <w:r w:rsidRPr="00411226">
        <w:rPr>
          <w:bCs/>
          <w:color w:val="000000"/>
        </w:rPr>
        <w:t xml:space="preserve"> </w:t>
      </w:r>
    </w:p>
    <w:p w:rsidR="008954BD" w:rsidRPr="00411226" w:rsidRDefault="00B220DF" w:rsidP="000608CF">
      <w:pPr>
        <w:tabs>
          <w:tab w:val="left" w:pos="-1985"/>
          <w:tab w:val="left" w:pos="993"/>
        </w:tabs>
        <w:jc w:val="both"/>
      </w:pPr>
      <w:r>
        <w:t>През 202</w:t>
      </w:r>
      <w:r w:rsidR="00D77433">
        <w:t>2</w:t>
      </w:r>
      <w:r w:rsidR="003C4BE5" w:rsidRPr="00411226">
        <w:t xml:space="preserve"> г. бяха извършени </w:t>
      </w:r>
      <w:r w:rsidR="00D77433">
        <w:rPr>
          <w:b/>
        </w:rPr>
        <w:t>8</w:t>
      </w:r>
      <w:r w:rsidR="00417E2D" w:rsidRPr="00432A45">
        <w:rPr>
          <w:b/>
        </w:rPr>
        <w:t xml:space="preserve"> извънпланови тематични проверки</w:t>
      </w:r>
      <w:r w:rsidR="00EA45A6" w:rsidRPr="00411226">
        <w:t>, в това число</w:t>
      </w:r>
      <w:r w:rsidR="00966C29" w:rsidRPr="00411226">
        <w:t>: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1.</w:t>
      </w:r>
      <w:r>
        <w:tab/>
        <w:t>В изпълнение на заповед № 95-00-78/28.01.2022 г. на министъра на външните работи бе извършена извънпланова тематична проверка по постъпил сигнал от адв. Д. Димитров. При проверката  изложените в сигнала твърдения не се потвърдиха като същевременно бе констатирано, че  макар и формално сигналът да не е анонимен (има посочен адрес и подател), на посочения адрес не живее лице с подобни имена, а в Регистъра на българската адвокатура, липсва адвокат с посочените имена и адрес. В тази връзка е направена препоръка за изменение на Устройствения правилник на МВнР и за въвеждане на по стриктни критерии за идентификация на подателите на сигнали. Част от направените препоръки са отразени в Устройствения правилник на МВнР (бр. 36 от 13.05.2022 г., в сила от 13.05.2022 г., бр. 38 от 20.05.2022 г.).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2.</w:t>
      </w:r>
      <w:r>
        <w:tab/>
        <w:t>В изпълнение на заповед № 95-00-153/10.03.2022 г. на министъра на външните работи бе извършена извънпланова тематична проверка с участие на служители от дирекция „Вътрешен одит“ за изясняване на фактите и обстоятелствата, представени по докладна записка и писмо № КОА-33-00-2/02.03.2022 г. на директора на дирекция „Консулски отношения“. В хода на проверката е констатирано, че „програмният продукт, с който работи сектор „Заверки и легализации“ и счетоводната програма на МВнР са на различни фирми, предвид спецификата на използваните софтуери и не са свързани помежду си. Няма служител с вменени контролни функции, който да осъществява текущ контрол върху броя постъпили документи, дължими такси за тях и постъпили по сметката на МВнР суми по дължимите такси.“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На това основание е дадена препоръка за изработване на допълнителна функционалност на програмния продукт, с който се работи в сектор „Заверки и легализации“, позволяваща извършване на справки за брой постъпили документи за извършване на административна услуга, брой обработени документи, дължима сума по брой и вид постъпили/обработени документи, постъпили суми по банковата сметка на МВнР, като компетентните дирекции разгледат и възможността за свързване на счетоводната програма на МВнР с програмния продукт, с който работи сектор „Заверки и легализации“, от гледна точка ефективен обмен на информация и на мрежовата и информационна сигурност на МВнР.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3.</w:t>
      </w:r>
      <w:r>
        <w:tab/>
        <w:t>В изпълнение на заповед № 95-00-234/20.04.2022 г. на министъра на външните работи бе извършена извънпланова тематична проверка по постъпил сигнал относно неправомерно напускане на страната на дългосрочно командироване от страна на г-жа Виолета Иванова, изпълняваща функциите на завеждащ „Финансово-административната служба“ на ДП-Рияд, Кралство Саудитска Арабия. В хода на проверката твърденията изнесени в сигнала се потвърдиха в резултат на което, по предложение на Инспекторат е образувано дисциплинарно производство срещу г-жа Иванова, като й е наложено дисциплинарно наказание – „уволнение“.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4.</w:t>
      </w:r>
      <w:r>
        <w:tab/>
        <w:t xml:space="preserve">В изпълнение на заповед № 95-00-261/10.05.2022 г. на министъра на външните работи бе извършена извънпланова тематична проверка по постъпил сигнал за </w:t>
      </w:r>
      <w:r>
        <w:lastRenderedPageBreak/>
        <w:t>нерегламентиран внос на голямо количество алкохол на името на ДП – Рияд. На място беше изпратена работна група с участието на служител от инспекторат и представител от дирекция ФУС, която да изясни обективните фактите и обстоятелствата. След завръщане на работната група беше изготвен доклад, одобрен от министъра на външните работи, като по случая бяха сезирани органите на Прокуратурата и ДАНС.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5.</w:t>
      </w:r>
      <w:r>
        <w:tab/>
        <w:t>В изпълнение на заповед № 95-00-295/26.05.2022 г. на министъра на външните работи бе извършена извънпланова тематична проверка на дейностите, свързани със завеждането, обработката, архивирането и унищожаването на документи и актуализиране на номенклатурите на делата в Централно управление и в задграничните представителства. В ходя на проверката бяха констатирани множество противоречия във вътрешноведомствените актове регулиращи посочените дейности. В тази връзка и предвид констатираните трайни проблеми в дейността по архивиране на документите от дирекциите със самостоятелни деловодства, бе поискана методическа помощ от Държавна агенция „Архиви“.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6.</w:t>
      </w:r>
      <w:r>
        <w:tab/>
        <w:t>В изпълнение на заповед № 95-00-403/25.07.2022 г. на министъра на външните работи бе извършена извънпланова тематична проверка на дейността на Националния визов център във връзка с докладна записка № И-68-03/20.07.2022 г. от началника на политическия кабинет. За резултатите от проверката е изготвен доклад одобрен от министъра на външните работи. В доклада са дадени конкретни препоръки към дирекция „Консулски отношения“ в това число за ротация на визовите референти с цел ограничаване на възможни корупционни практики, за назначаване на служител, който да отговаря на телефона за граждани и да поеме дейността по подготовка за работа с НВИС на служителите определени за изпълнение функциите на консулски длъжностни лица в ЗП. Направено е и предложение за промяна в нормативната уредба с цел предоставяне на възможност на служителите в отдел „Административно обслужване на гражданите“, дирекция КО да използват НВИС.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7.</w:t>
      </w:r>
      <w:r>
        <w:tab/>
        <w:t>В изпълнение на заповед № ЧР-95-00-399/02.08.2022 г. на министъра на външните работи бе извършена извънпланова комплексна проверка на дейността на ДП – Бейрут, Ливан. Предвид направените в хода на проверката констатации са дадени препоръки за проверка на представителството от дирекция „Вътрешен одит“. Отново е препоръчано и изготвянето на писмена процедура за съгласуване на Вътрешните правила на задграничните представителства, подобно на тази съществуваща по отношение на годишните планове и отчети на мисиите.</w:t>
      </w:r>
    </w:p>
    <w:p w:rsidR="00D77433" w:rsidRDefault="00D77433" w:rsidP="004B7B6D">
      <w:pPr>
        <w:tabs>
          <w:tab w:val="num" w:pos="0"/>
          <w:tab w:val="left" w:pos="851"/>
        </w:tabs>
        <w:spacing w:before="120" w:after="120"/>
        <w:ind w:firstLine="567"/>
        <w:jc w:val="both"/>
      </w:pPr>
      <w:r>
        <w:t>8.</w:t>
      </w:r>
      <w:r>
        <w:tab/>
        <w:t>В изпълнение на заповед № 95-00-80/10.02.2020 г. изменена със заповед № 95-00-519/14.09.2021 г. на министъра на външните работи бе извършена извънпланова тематична проверка за спазване срока на подаване на встъпителни декларации по чл. 35, ал. 1, т. 1 и 2 от ЗПКОНПИ от назначените в МВнР служители. В резултат на извършената проверка са съставени 8 акта за установяване на административно нарушение като от образуваните административно -наказателни преписки 7 са прекратени на основание чл. 54, ал. 1, т. 8 от ЗАНН (поради влязло в сила предупреждение по чл. 28 от ЗАНН за „маловажност“), а една е прекратена на основание чл. 54, ал. 1, т. 1 от ЗАНН (поради това, че деянието посочено в акта не е извършено).</w:t>
      </w:r>
    </w:p>
    <w:p w:rsidR="003001A4" w:rsidRPr="00411226" w:rsidRDefault="00B220DF" w:rsidP="00D77433">
      <w:pPr>
        <w:tabs>
          <w:tab w:val="num" w:pos="0"/>
        </w:tabs>
        <w:spacing w:before="120" w:after="120"/>
        <w:jc w:val="both"/>
      </w:pPr>
      <w:r>
        <w:t>През 202</w:t>
      </w:r>
      <w:r w:rsidR="00D77433">
        <w:t>2</w:t>
      </w:r>
      <w:r w:rsidR="003001A4" w:rsidRPr="00411226">
        <w:t xml:space="preserve"> </w:t>
      </w:r>
      <w:r w:rsidR="00EB706E">
        <w:t xml:space="preserve">г. в Инспекторат са постъпили </w:t>
      </w:r>
      <w:r w:rsidR="00D77433">
        <w:t>47</w:t>
      </w:r>
      <w:r w:rsidR="003001A4" w:rsidRPr="00411226">
        <w:t xml:space="preserve"> /</w:t>
      </w:r>
      <w:r w:rsidR="00D77433">
        <w:t>четиресет и седем</w:t>
      </w:r>
      <w:r w:rsidR="003001A4" w:rsidRPr="00411226">
        <w:t xml:space="preserve">/ сигнала по реда на Глава осма от АПК, като </w:t>
      </w:r>
      <w:r>
        <w:t>голяма част</w:t>
      </w:r>
      <w:r w:rsidR="003001A4" w:rsidRPr="00411226">
        <w:t xml:space="preserve"> от тях са във връзка с обслужването в консулските служби към ЗП</w:t>
      </w:r>
      <w:r w:rsidR="00D77433">
        <w:t xml:space="preserve"> (приблизително 5</w:t>
      </w:r>
      <w:r>
        <w:t>0 %)</w:t>
      </w:r>
      <w:r w:rsidR="003001A4" w:rsidRPr="00411226">
        <w:t xml:space="preserve">. </w:t>
      </w:r>
    </w:p>
    <w:p w:rsidR="00A46896" w:rsidRDefault="00A46896" w:rsidP="000608CF">
      <w:pPr>
        <w:tabs>
          <w:tab w:val="num" w:pos="0"/>
        </w:tabs>
        <w:spacing w:before="120" w:after="120"/>
        <w:jc w:val="both"/>
      </w:pPr>
      <w:r>
        <w:t>Сигналите се разпределят по видове, както следва: за нередности в консулското обслужване –</w:t>
      </w:r>
      <w:r w:rsidR="00D77433">
        <w:t xml:space="preserve"> 20</w:t>
      </w:r>
      <w:r>
        <w:t xml:space="preserve"> бр.; за кору</w:t>
      </w:r>
      <w:r w:rsidR="00D77433">
        <w:t>пция и корупционно поведение – 3</w:t>
      </w:r>
      <w:r>
        <w:t xml:space="preserve"> бр.; за неправомерно поведение н</w:t>
      </w:r>
      <w:r w:rsidR="00D77433">
        <w:t>а служители на администрация – 20</w:t>
      </w:r>
      <w:r>
        <w:t xml:space="preserve"> бр.; сигнали, които не са от ко</w:t>
      </w:r>
      <w:r w:rsidR="00D77433">
        <w:t>мпетентността на Инспекторат – 4</w:t>
      </w:r>
      <w:r>
        <w:t xml:space="preserve"> бр.</w:t>
      </w:r>
    </w:p>
    <w:p w:rsidR="00D77433" w:rsidRDefault="00D77433" w:rsidP="000608CF">
      <w:pPr>
        <w:tabs>
          <w:tab w:val="num" w:pos="0"/>
        </w:tabs>
        <w:spacing w:before="120" w:after="120"/>
        <w:jc w:val="both"/>
      </w:pPr>
      <w:r w:rsidRPr="00D77433">
        <w:lastRenderedPageBreak/>
        <w:t>По 4 от получените сигнали са извършени извънпланови тематични проверки, като по всички сигнали са извършени предварителни проучвания и по 36 са изготвени и изпратени отговори до жалбоподателите съгласно чл. 38, ал. 1 от Вътрешните правила за дейността на Инспекторат на МВнР, а 1 сигнал е препратен към компетентните органи и структури.</w:t>
      </w:r>
    </w:p>
    <w:p w:rsidR="00A46896" w:rsidRDefault="00EB706E" w:rsidP="000608CF">
      <w:pPr>
        <w:tabs>
          <w:tab w:val="num" w:pos="0"/>
        </w:tabs>
        <w:spacing w:before="120" w:after="120"/>
        <w:jc w:val="both"/>
      </w:pPr>
      <w:r>
        <w:t>През 202</w:t>
      </w:r>
      <w:r w:rsidR="00D77433">
        <w:t>2</w:t>
      </w:r>
      <w:r w:rsidR="00D57169">
        <w:t xml:space="preserve"> г. Инспекторат</w:t>
      </w:r>
      <w:r w:rsidR="00A023EF" w:rsidRPr="00411226">
        <w:t xml:space="preserve"> продължи да изготвя експертни становища по конкретни казуси в процеса на изготвяне на предложения за управленски решения. </w:t>
      </w:r>
    </w:p>
    <w:p w:rsidR="0083731B" w:rsidRPr="00411226" w:rsidRDefault="00A023EF" w:rsidP="000608CF">
      <w:pPr>
        <w:tabs>
          <w:tab w:val="num" w:pos="0"/>
        </w:tabs>
        <w:spacing w:before="120" w:after="120"/>
        <w:jc w:val="both"/>
      </w:pPr>
      <w:r w:rsidRPr="00411226">
        <w:t xml:space="preserve">В </w:t>
      </w:r>
      <w:r w:rsidR="003C4BE5" w:rsidRPr="00411226">
        <w:t>рамките на извършените през 20</w:t>
      </w:r>
      <w:r w:rsidR="00D77433">
        <w:t>22</w:t>
      </w:r>
      <w:r w:rsidR="00D57169">
        <w:t xml:space="preserve"> г. проверки, Инспекторат</w:t>
      </w:r>
      <w:r w:rsidRPr="00411226">
        <w:t xml:space="preserve"> е направил над </w:t>
      </w:r>
      <w:r w:rsidR="00EB706E">
        <w:t>множество</w:t>
      </w:r>
      <w:r w:rsidRPr="00411226">
        <w:t xml:space="preserve"> предложения за отстраняване на недостатъци във функционирането на МВнР и за подобряване дейността на Дипломатическата служба. </w:t>
      </w:r>
    </w:p>
    <w:p w:rsidR="001B39A3" w:rsidRPr="00411226" w:rsidRDefault="00D57169" w:rsidP="000608CF">
      <w:pPr>
        <w:tabs>
          <w:tab w:val="left" w:pos="0"/>
        </w:tabs>
        <w:spacing w:before="120" w:after="120"/>
        <w:ind w:right="1"/>
        <w:jc w:val="both"/>
      </w:pPr>
      <w:r>
        <w:t>Инспекторат</w:t>
      </w:r>
      <w:r w:rsidR="00A023EF" w:rsidRPr="00411226">
        <w:t xml:space="preserve"> полага усилия за подобряване координацията между отделните административни структури в МВнР, като този приоритет е заложен в годишния и в стратегическия планове за дейността на Инспектората на МВнР.</w:t>
      </w:r>
    </w:p>
    <w:p w:rsidR="0083731B" w:rsidRPr="00411226" w:rsidRDefault="0083731B" w:rsidP="000608CF">
      <w:pPr>
        <w:tabs>
          <w:tab w:val="left" w:pos="0"/>
        </w:tabs>
        <w:ind w:right="-425"/>
        <w:jc w:val="both"/>
      </w:pPr>
    </w:p>
    <w:p w:rsidR="00E46865" w:rsidRPr="00411226" w:rsidRDefault="00E46865" w:rsidP="000608CF">
      <w:pPr>
        <w:ind w:right="-425"/>
      </w:pPr>
      <w:r w:rsidRPr="00411226">
        <w:t>Инспекторат на МВнР</w:t>
      </w:r>
    </w:p>
    <w:sectPr w:rsidR="00E46865" w:rsidRPr="00411226" w:rsidSect="000A77F7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586D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011DD"/>
    <w:multiLevelType w:val="hybridMultilevel"/>
    <w:tmpl w:val="006A5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A53"/>
    <w:multiLevelType w:val="hybridMultilevel"/>
    <w:tmpl w:val="DC82006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4883"/>
    <w:multiLevelType w:val="hybridMultilevel"/>
    <w:tmpl w:val="3F6C8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7700B"/>
    <w:multiLevelType w:val="hybridMultilevel"/>
    <w:tmpl w:val="6E88E4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63EDF"/>
    <w:multiLevelType w:val="hybridMultilevel"/>
    <w:tmpl w:val="67CC66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5"/>
    <w:rsid w:val="000247D9"/>
    <w:rsid w:val="000608CF"/>
    <w:rsid w:val="00093254"/>
    <w:rsid w:val="000A77F7"/>
    <w:rsid w:val="000E390B"/>
    <w:rsid w:val="00143401"/>
    <w:rsid w:val="00164F7B"/>
    <w:rsid w:val="001B39A3"/>
    <w:rsid w:val="001C61DE"/>
    <w:rsid w:val="002D1004"/>
    <w:rsid w:val="003001A4"/>
    <w:rsid w:val="00312D3C"/>
    <w:rsid w:val="003132BF"/>
    <w:rsid w:val="003262F0"/>
    <w:rsid w:val="00352B17"/>
    <w:rsid w:val="00374F1F"/>
    <w:rsid w:val="003C4BE5"/>
    <w:rsid w:val="00411226"/>
    <w:rsid w:val="00417E2D"/>
    <w:rsid w:val="00432A45"/>
    <w:rsid w:val="004375EB"/>
    <w:rsid w:val="004B7B6D"/>
    <w:rsid w:val="004E2B25"/>
    <w:rsid w:val="004E7684"/>
    <w:rsid w:val="005525C2"/>
    <w:rsid w:val="00635056"/>
    <w:rsid w:val="006F153B"/>
    <w:rsid w:val="00731E93"/>
    <w:rsid w:val="00732F44"/>
    <w:rsid w:val="007461D2"/>
    <w:rsid w:val="0083731B"/>
    <w:rsid w:val="008954BD"/>
    <w:rsid w:val="0091390E"/>
    <w:rsid w:val="00966C29"/>
    <w:rsid w:val="0097739C"/>
    <w:rsid w:val="009B29D1"/>
    <w:rsid w:val="009B6B06"/>
    <w:rsid w:val="00A023EF"/>
    <w:rsid w:val="00A04134"/>
    <w:rsid w:val="00A12546"/>
    <w:rsid w:val="00A46896"/>
    <w:rsid w:val="00A47175"/>
    <w:rsid w:val="00AC4742"/>
    <w:rsid w:val="00B220DF"/>
    <w:rsid w:val="00B5221A"/>
    <w:rsid w:val="00BA439E"/>
    <w:rsid w:val="00CA0834"/>
    <w:rsid w:val="00CC2303"/>
    <w:rsid w:val="00D41A79"/>
    <w:rsid w:val="00D52F3B"/>
    <w:rsid w:val="00D57169"/>
    <w:rsid w:val="00D77433"/>
    <w:rsid w:val="00E36EC7"/>
    <w:rsid w:val="00E46865"/>
    <w:rsid w:val="00EA45A6"/>
    <w:rsid w:val="00EB706E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C656"/>
  <w15:chartTrackingRefBased/>
  <w15:docId w15:val="{5775A869-6B9C-4307-88EB-71ADA99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3401"/>
    <w:pPr>
      <w:spacing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4340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43401"/>
    <w:rPr>
      <w:b/>
      <w:bCs/>
    </w:rPr>
  </w:style>
  <w:style w:type="character" w:styleId="PageNumber">
    <w:name w:val="page number"/>
    <w:basedOn w:val="DefaultParagraphFont"/>
    <w:rsid w:val="00A4717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A471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47175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7175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ListBullet">
    <w:name w:val="List Bullet"/>
    <w:basedOn w:val="Normal"/>
    <w:uiPriority w:val="99"/>
    <w:unhideWhenUsed/>
    <w:rsid w:val="0097739C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F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Bozhkova</dc:creator>
  <cp:keywords/>
  <dc:description/>
  <cp:lastModifiedBy>Denitsa Marinova</cp:lastModifiedBy>
  <cp:revision>4</cp:revision>
  <cp:lastPrinted>2023-02-14T07:41:00Z</cp:lastPrinted>
  <dcterms:created xsi:type="dcterms:W3CDTF">2023-02-13T13:47:00Z</dcterms:created>
  <dcterms:modified xsi:type="dcterms:W3CDTF">2023-02-14T07:51:00Z</dcterms:modified>
</cp:coreProperties>
</file>