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100F37"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INTPA-F</w:t>
            </w:r>
            <w:r w:rsidR="00B726C8">
              <w:rPr>
                <w:rFonts w:ascii="Times New Roman" w:eastAsia="Times New Roman" w:hAnsi="Times New Roman" w:cs="Times New Roman"/>
                <w:b/>
                <w:sz w:val="24"/>
                <w:szCs w:val="20"/>
                <w:lang w:eastAsia="en-GB"/>
              </w:rPr>
              <w:t>-2</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 xml:space="preserve">Chef </w:t>
            </w:r>
            <w:proofErr w:type="gramStart"/>
            <w:r w:rsidRPr="00C4363D">
              <w:rPr>
                <w:rFonts w:ascii="Times New Roman" w:eastAsia="Times New Roman" w:hAnsi="Times New Roman" w:cs="Times New Roman"/>
                <w:b/>
                <w:lang w:eastAsia="en-GB"/>
              </w:rPr>
              <w:t>d’unité</w:t>
            </w:r>
            <w:r w:rsidR="0051075B">
              <w:rPr>
                <w:rFonts w:ascii="Times New Roman" w:eastAsia="Times New Roman" w:hAnsi="Times New Roman" w:cs="Times New Roman"/>
                <w:b/>
                <w:lang w:eastAsia="en-GB"/>
              </w:rPr>
              <w:t xml:space="preserve"> </w:t>
            </w:r>
            <w:r w:rsidRPr="00C4363D">
              <w:rPr>
                <w:rFonts w:ascii="Times New Roman" w:eastAsia="Times New Roman" w:hAnsi="Times New Roman" w:cs="Times New Roman"/>
                <w:b/>
                <w:lang w:eastAsia="en-GB"/>
              </w:rPr>
              <w:t> :</w:t>
            </w:r>
            <w:proofErr w:type="gramEnd"/>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100F37" w:rsidRPr="00100F37" w:rsidRDefault="00100F37" w:rsidP="00100F37">
            <w:pPr>
              <w:spacing w:after="0" w:line="240" w:lineRule="auto"/>
              <w:rPr>
                <w:rFonts w:ascii="Times New Roman" w:eastAsia="Calibri" w:hAnsi="Times New Roman" w:cs="Times New Roman"/>
                <w:b/>
                <w:lang w:val="es-ES" w:eastAsia="en-GB"/>
              </w:rPr>
            </w:pPr>
            <w:r w:rsidRPr="00100F37">
              <w:rPr>
                <w:rFonts w:ascii="Times New Roman" w:eastAsia="Calibri" w:hAnsi="Times New Roman" w:cs="Times New Roman"/>
                <w:b/>
                <w:lang w:val="es-ES" w:eastAsia="en-GB"/>
              </w:rPr>
              <w:t xml:space="preserve">Chantal </w:t>
            </w:r>
            <w:proofErr w:type="spellStart"/>
            <w:r w:rsidRPr="00100F37">
              <w:rPr>
                <w:rFonts w:ascii="Times New Roman" w:eastAsia="Calibri" w:hAnsi="Times New Roman" w:cs="Times New Roman"/>
                <w:b/>
                <w:lang w:val="es-ES" w:eastAsia="en-GB"/>
              </w:rPr>
              <w:t>Marijnissen</w:t>
            </w:r>
            <w:proofErr w:type="spellEnd"/>
          </w:p>
          <w:p w:rsidR="00100F37" w:rsidRPr="00100F37" w:rsidRDefault="00100F37" w:rsidP="00100F37">
            <w:pPr>
              <w:spacing w:after="0" w:line="240" w:lineRule="auto"/>
              <w:rPr>
                <w:rFonts w:ascii="Times New Roman" w:eastAsia="Calibri" w:hAnsi="Times New Roman" w:cs="Times New Roman"/>
                <w:b/>
                <w:color w:val="0000FF"/>
                <w:lang w:val="es-ES" w:eastAsia="en-GB"/>
              </w:rPr>
            </w:pPr>
            <w:hyperlink r:id="rId9" w:history="1">
              <w:r w:rsidRPr="00100F37">
                <w:rPr>
                  <w:rStyle w:val="Hyperlink"/>
                  <w:rFonts w:ascii="Times New Roman" w:eastAsia="Calibri" w:hAnsi="Times New Roman" w:cs="Times New Roman"/>
                  <w:b/>
                  <w:color w:val="0000FF"/>
                  <w:lang w:val="es-ES" w:eastAsia="en-GB"/>
                </w:rPr>
                <w:t>Chantal.Marijnissen@ec.europa.eu</w:t>
              </w:r>
            </w:hyperlink>
            <w:r w:rsidRPr="00100F37">
              <w:rPr>
                <w:rFonts w:ascii="Times New Roman" w:eastAsia="Calibri" w:hAnsi="Times New Roman" w:cs="Times New Roman"/>
                <w:b/>
                <w:color w:val="0000FF"/>
                <w:lang w:val="es-ES" w:eastAsia="en-GB"/>
              </w:rPr>
              <w:t xml:space="preserve"> </w:t>
            </w:r>
          </w:p>
          <w:p w:rsidR="00E9679F" w:rsidRDefault="00100F37" w:rsidP="00100F37">
            <w:pPr>
              <w:spacing w:after="0" w:line="240" w:lineRule="auto"/>
              <w:rPr>
                <w:rFonts w:ascii="Times New Roman" w:eastAsia="Calibri" w:hAnsi="Times New Roman" w:cs="Times New Roman"/>
                <w:b/>
                <w:lang w:val="es-ES" w:eastAsia="en-GB"/>
              </w:rPr>
            </w:pPr>
            <w:r w:rsidRPr="00100F37">
              <w:rPr>
                <w:rFonts w:ascii="Times New Roman" w:eastAsia="Calibri" w:hAnsi="Times New Roman" w:cs="Times New Roman"/>
                <w:b/>
                <w:lang w:val="es-ES" w:eastAsia="en-GB"/>
              </w:rPr>
              <w:t>+32 2 29-86565</w:t>
            </w:r>
            <w:r>
              <w:rPr>
                <w:rFonts w:ascii="Times New Roman" w:eastAsia="Calibri" w:hAnsi="Times New Roman" w:cs="Times New Roman"/>
                <w:b/>
                <w:lang w:val="es-ES" w:eastAsia="en-GB"/>
              </w:rPr>
              <w:t xml:space="preserve"> </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51075B"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51075B">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100F37"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FD62E0">
              <w:rPr>
                <w:rStyle w:val="FootnoteReference"/>
                <w:rFonts w:ascii="Times New Roman" w:hAnsi="Times New Roman" w:cs="Times New Roman"/>
                <w:b/>
              </w:rPr>
              <w:footnoteReference w:id="1"/>
            </w:r>
          </w:p>
          <w:p w:rsidR="00130F26" w:rsidRPr="00C4363D" w:rsidRDefault="007E0B80" w:rsidP="00AF03D6">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Pr="00C4363D">
              <w:rPr>
                <w:rFonts w:ascii="Times New Roman" w:eastAsia="MS Minngs" w:hAnsi="Times New Roman" w:cs="Times New Roman"/>
                <w:b/>
                <w:bCs/>
                <w:lang w:val="fr-FR" w:eastAsia="en-GB"/>
              </w:rPr>
              <w:sym w:font="Wingdings 2" w:char="F0A3"/>
            </w:r>
            <w:r w:rsidRPr="00C4363D">
              <w:rPr>
                <w:rFonts w:ascii="Times New Roman" w:eastAsia="MS Minngs" w:hAnsi="Times New Roman" w:cs="Times New Roman"/>
                <w:b/>
                <w:bCs/>
                <w:lang w:val="fr-FR" w:eastAsia="en-GB"/>
              </w:rPr>
              <w:t xml:space="preserve">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AF03D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xml:space="preserve">: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7E0B80" w:rsidP="00E741E0">
            <w:pPr>
              <w:rPr>
                <w:rFonts w:ascii="Times New Roman" w:eastAsia="Times New Roman" w:hAnsi="Times New Roman" w:cs="Times New Roman"/>
                <w:b/>
                <w:sz w:val="24"/>
                <w:szCs w:val="20"/>
                <w:lang w:eastAsia="en-GB"/>
              </w:rPr>
            </w:pPr>
            <w:r w:rsidRPr="00C4363D">
              <w:rPr>
                <w:rFonts w:ascii="Times New Roman" w:eastAsia="MS Minngs" w:hAnsi="Times New Roman" w:cs="Times New Roman"/>
                <w:b/>
                <w:bCs/>
                <w:lang w:val="fr-FR" w:eastAsia="en-GB"/>
              </w:rPr>
              <w:sym w:font="Wingdings 2" w:char="F0A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7E0B80" w:rsidP="00C4363D">
            <w:pPr>
              <w:spacing w:after="0"/>
              <w:rPr>
                <w:rFonts w:ascii="Times New Roman" w:eastAsia="Times New Roman" w:hAnsi="Times New Roman" w:cs="Times New Roman"/>
                <w:b/>
                <w:bCs/>
                <w:lang w:eastAsia="en-GB"/>
              </w:rPr>
            </w:pPr>
            <w:r w:rsidRPr="00C4363D">
              <w:rPr>
                <w:rFonts w:ascii="Times New Roman" w:eastAsia="MS Minngs" w:hAnsi="Times New Roman" w:cs="Times New Roman"/>
                <w:b/>
                <w:bCs/>
                <w:lang w:val="fr-FR" w:eastAsia="en-GB"/>
              </w:rPr>
              <w:sym w:font="Wingdings 2" w:char="F0A3"/>
            </w:r>
            <w:r w:rsidR="00130F26" w:rsidRPr="00745B97">
              <w:rPr>
                <w:rFonts w:ascii="Times New Roman" w:eastAsia="Times New Roman" w:hAnsi="Times New Roman" w:cs="Times New Roman"/>
                <w:b/>
                <w:bCs/>
                <w:lang w:eastAsia="en-GB"/>
              </w:rPr>
              <w:t xml:space="preserve">    </w:t>
            </w:r>
            <w:proofErr w:type="gramStart"/>
            <w:r w:rsidR="00130F26" w:rsidRPr="00745B97">
              <w:rPr>
                <w:rFonts w:ascii="Times New Roman" w:eastAsia="Times New Roman" w:hAnsi="Times New Roman" w:cs="Times New Roman"/>
                <w:b/>
                <w:bCs/>
                <w:lang w:eastAsia="en-GB"/>
              </w:rPr>
              <w:t>aux</w:t>
            </w:r>
            <w:proofErr w:type="gramEnd"/>
            <w:r w:rsidR="00130F26"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Islande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Liechtenstein </w:t>
            </w:r>
            <w:r w:rsidR="007E0B80" w:rsidRPr="00C4363D">
              <w:rPr>
                <w:rFonts w:ascii="Times New Roman" w:eastAsia="MS Minngs" w:hAnsi="Times New Roman" w:cs="Times New Roman"/>
                <w:b/>
                <w:bCs/>
                <w:lang w:val="fr-FR" w:eastAsia="en-GB"/>
              </w:rPr>
              <w:sym w:font="Wingdings 2" w:char="F0A3"/>
            </w:r>
            <w:r w:rsidR="007E0B80" w:rsidRPr="00C4363D">
              <w:rPr>
                <w:rFonts w:ascii="Times New Roman" w:eastAsia="MS Minngs" w:hAnsi="Times New Roman" w:cs="Times New Roman"/>
                <w:b/>
                <w:bCs/>
                <w:lang w:val="fr-FR" w:eastAsia="en-GB"/>
              </w:rPr>
              <w:t xml:space="preserve"> </w:t>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7E0B80" w:rsidRPr="00C4363D">
              <w:rPr>
                <w:rFonts w:ascii="Times New Roman" w:eastAsia="MS Minngs" w:hAnsi="Times New Roman" w:cs="Times New Roman"/>
                <w:b/>
                <w:bCs/>
                <w:lang w:val="fr-FR" w:eastAsia="en-GB"/>
              </w:rPr>
              <w:sym w:font="Wingdings 2" w:char="F0A3"/>
            </w:r>
            <w:r w:rsidRPr="00745B97">
              <w:rPr>
                <w:rFonts w:ascii="Times New Roman" w:eastAsia="Times New Roman" w:hAnsi="Times New Roman" w:cs="Times New Roman"/>
                <w:b/>
                <w:bCs/>
                <w:lang w:eastAsia="en-GB"/>
              </w:rPr>
              <w:t xml:space="preserve">    </w:t>
            </w:r>
            <w:r w:rsidR="007E0B80">
              <w:rPr>
                <w:rFonts w:ascii="Times New Roman" w:eastAsia="Times New Roman" w:hAnsi="Times New Roman" w:cs="Times New Roman"/>
                <w:b/>
                <w:bCs/>
                <w:lang w:eastAsia="en-GB"/>
              </w:rPr>
              <w:t>aux pays tiers suivants:</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L’unité F2 — Environnement et ressources naturelles — propose un poste d’expert national détaché sous la responsabilité du chef d’unité. </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Le pacte vert pour l’Europe fixe l’ambition de l’Union européenne de jouer un rôle de premier plan au niveau mondial pour parvenir à la neutralité climatique, enrayer la perte de biodiversité et dissocier la croissance économique de l’utilisation des ressources naturelles. Cette ambition s’est traduite par un certain nombre de politiques et de réglementations transformatrices, notamment le plan d’action en faveur de l’économie circulaire, le plan d’action de l’UE sur la finance durable et sa taxinomie, la stratégie sur les matières plastiques et le plan d’action «zéro pollution», la stratégie en faveur de la biodiversité à l’horizon 2030 et la stratégie «De la ferme à la table»: tous comportent une forte dimension extérieure qui encadre les partenariats de l’UE avec les pays tiers. </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L’ambition du pacte vert est pleinement intégrée dans les programmes d’initiative pluriannuels qui ont été définis pour la période 2021-2027, aux niveaux national, régional et mondial. </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Le mandat de l’unité F2 de l’INTPA est d’aider les pays en développement à mettre en œuvre la dimension environnementale du programme de développement durable à l’horizon 2030, conformément au consensus européen pour le développement et à la dimension extérieure du pacte vert pour l’Europe. </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À cette fin, l’INTPA F2 est responsable de trois grands domaines de travail: l’élaboration de politiques thématiques; le soutien thématique et les orientations politiques aux délégations de l’UE et à nos homologues; programmation et mise en œuvre. Ces responsabilités impliquent un dialogue politique, le développement des capacités et la gestion des connaissances, des partenariats et une mise en œuvre conjointe. </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L’unité F2 promeut la conception et la mise en œuvre de la dimension extérieure du pacte vert pour l’Europe. Il soutient l’«écologisation» de la coopération de l’UE avec les pays tiers (par l’intégration (ou « </w:t>
      </w:r>
      <w:proofErr w:type="spellStart"/>
      <w:r w:rsidRPr="00100F37">
        <w:rPr>
          <w:rFonts w:ascii="Times New Roman" w:eastAsia="Calibri" w:hAnsi="Times New Roman" w:cs="Times New Roman"/>
          <w:lang w:eastAsia="en-GB"/>
        </w:rPr>
        <w:t>mainstreaming</w:t>
      </w:r>
      <w:proofErr w:type="spellEnd"/>
      <w:r w:rsidRPr="00100F37">
        <w:rPr>
          <w:rFonts w:ascii="Times New Roman" w:eastAsia="Calibri" w:hAnsi="Times New Roman" w:cs="Times New Roman"/>
          <w:lang w:eastAsia="en-GB"/>
        </w:rPr>
        <w:t xml:space="preserve"> »)  de la durabilité environnementale dans les politiques, plans et investissements de développement dans tous les domaines et instruments) et la conception et la mise en œuvre d’actions spécifiques visant à promouvoir une meilleure gouvernance de l’environnement et des ressources naturelles, la conservation et l’utilisation durable de la biodiversité et des ressources naturelles, y compris les terres, l’eau, les océans et les forêts, ainsi que la transition vers une économie verte et circulaire. </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Les travaux sur les questions susmentionnées sont réalisés avec le soutien de dispositifs d’assistance technique et en étroite coordination avec l’unité chargée de l’énergie durable et du changement climatique (F1); elle implique un dialogue actif avec tous les services concernés, y compris les délégations de l’UE, les institutions et gouvernements partenaires, les États membres et les collègues du siège.</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u w:val="single"/>
          <w:lang w:eastAsia="en-GB"/>
        </w:rPr>
      </w:pPr>
      <w:r w:rsidRPr="00100F37">
        <w:rPr>
          <w:rFonts w:ascii="Times New Roman" w:eastAsia="Calibri" w:hAnsi="Times New Roman" w:cs="Times New Roman"/>
          <w:u w:val="single"/>
          <w:lang w:eastAsia="en-GB"/>
        </w:rPr>
        <w:t>Description du poste</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Sous la responsabilité du chef d’unité et sous la supervision directe du chef du secteur « Environnement, intégration et économie circulaire », le candidat retenu soutiendra les travaux de la DG INTPA dans le domaine de l’écologisation des politiques, programmes et investissements de l’UE en matière de coopération internationale et de développement, en les alignant sur les objectifs du pacte vert pour l’Europe. En particulier, le responsable des politiques soutiendra les travaux de l’UE visant à soutenir la transition vers des économies circulaires efficaces dans l’utilisation des ressources et les efforts visant à renforcer la dimension environnementale de la coopération de l’UE. Il s’agit notamment i) de l’intégration — ou « </w:t>
      </w:r>
      <w:proofErr w:type="spellStart"/>
      <w:r w:rsidRPr="00100F37">
        <w:rPr>
          <w:rFonts w:ascii="Times New Roman" w:eastAsia="Calibri" w:hAnsi="Times New Roman" w:cs="Times New Roman"/>
          <w:lang w:eastAsia="en-GB"/>
        </w:rPr>
        <w:t>mainstreaming</w:t>
      </w:r>
      <w:proofErr w:type="spellEnd"/>
      <w:r w:rsidRPr="00100F37">
        <w:rPr>
          <w:rFonts w:ascii="Times New Roman" w:eastAsia="Calibri" w:hAnsi="Times New Roman" w:cs="Times New Roman"/>
          <w:lang w:eastAsia="en-GB"/>
        </w:rPr>
        <w:t xml:space="preserve"> » — des considérations et objectifs liés à l’environnement et à l’économie verte/circulaire, dans tous les instruments de financement, secteurs et zones géographiques de la coopération de l’UE, en mettant particulièrement l’accent sur l’écologisation des investissements soutenus par l’UE; et ii) la politique, le soutien à la qualité et la gestion de projets en lien avec le soutien de l’UE à l’économie circulaire/verte. Une attention particulière sera accordée aux nouveaux instruments (Fonds européen pour le développement durable — FEDD +), y compris les garanties et les opérations de financement mixte, ainsi qu’aux opérations d’appui budgétaire et à la gestion des finances publiques. </w:t>
      </w: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 </w:t>
      </w:r>
    </w:p>
    <w:p w:rsidR="00100F37" w:rsidRPr="00100F37"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Dans ce contexte, le candidat retenu sera chargé des tâches suivantes:</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Contribuer aux travaux politiques et techniques de la DG INTPA en ce qui concerne l’économie verte/circulaire, les investissements verts et l’environnement en général.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Soutenir le développement et la gestion du portefeuille de la DG INTPA sur l’économie verte/circulaire, en contribuant à la conception et à la gestion des actions en faveur de l’économie circulaire et de l’environnement financées au titre des programmes thématiques et géographiques.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Contribuer à la réalisation des missions de l’unité en assurant la mise en œuvre effective des tâches qui lui seront confiées; il s’agit notamment de contribuer à l’élaboration de plans de travail, de rapports, de notes d’information, de documents stratégiques et techniques et d’autres processus institutionnels.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Fournir un soutien de qualité, des orientations méthodologiques et des conseils sur l’économie verte/circulaire, les investissements verts et les questions liées à l’environnement aux collègues des délégations de l’UE et du siège, notamment par la mobilisation et le contrôle de la </w:t>
      </w:r>
      <w:proofErr w:type="spellStart"/>
      <w:r w:rsidRPr="00100F37">
        <w:rPr>
          <w:rFonts w:ascii="Times New Roman" w:eastAsia="Calibri" w:hAnsi="Times New Roman" w:cs="Times New Roman"/>
          <w:lang w:eastAsia="en-GB"/>
        </w:rPr>
        <w:t>Greening</w:t>
      </w:r>
      <w:proofErr w:type="spellEnd"/>
      <w:r w:rsidRPr="00100F37">
        <w:rPr>
          <w:rFonts w:ascii="Times New Roman" w:eastAsia="Calibri" w:hAnsi="Times New Roman" w:cs="Times New Roman"/>
          <w:lang w:eastAsia="en-GB"/>
        </w:rPr>
        <w:t xml:space="preserve"> Facilité de la DG INTPA et de la Facilité Switch to Green.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Contribuer au processus d’assurance de la qualité et soutenir la conception de nouveaux programmes en participant aux réunions d’examen de la qualité, aux équipes de coordination nationale/régionale et à d’autres processus pertinents.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Contribuer aux travaux d’analyse et au développement des connaissances, des outils et des approches en rapport avec l’économie verte/circulaire, les investissements verts et l’intégration de l’environnement.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Examiner les documents stratégiques, les documents de programmation, les documents d’action, les rapports de mise en œuvre et formuler des suggestions et des commentaires pour renforcer la dimension environnementale.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Examiner les propositions d’investissement dans le cadre du plan d’investissement de l’UE, du FEDD + et des facilités d’investissement de l’UE.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lastRenderedPageBreak/>
        <w:t xml:space="preserve">Soutenir le réseau de points focaux pour l’environnement et le climat au sein des délégations de l’UE, ainsi que les activités de formation et de développement et de partage des connaissances afin de renforcer les capacités du personnel et des partenaires de l’UE.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Mener des missions de soutien dans les pays partenaires afin de fournir un soutien politique et technique dans le domaine de l’économie verte/circulaire, de l’environnement et de l’écologisation des politiques, des programmes et des investissements en matière de développement.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Assister, à la demande, les collègues de la DG INTPA et des délégations de l’UE dans les dialogues politiques liés au pacte vert pour l’Europe. Soutenir l’organisation de missions dans le domaine de l’économie circulaire.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 xml:space="preserve">Soutenir les travaux de la DG INTPA sur la gouvernance environnementale internationale. </w:t>
      </w:r>
    </w:p>
    <w:p w:rsidR="00100F37" w:rsidRPr="00100F37" w:rsidRDefault="00100F37" w:rsidP="00100F37">
      <w:pPr>
        <w:pStyle w:val="ListParagraph"/>
        <w:numPr>
          <w:ilvl w:val="0"/>
          <w:numId w:val="28"/>
        </w:numPr>
        <w:spacing w:after="0" w:line="240" w:lineRule="auto"/>
        <w:ind w:left="709" w:hanging="283"/>
        <w:jc w:val="both"/>
        <w:rPr>
          <w:rFonts w:ascii="Times New Roman" w:eastAsia="Calibri" w:hAnsi="Times New Roman" w:cs="Times New Roman"/>
          <w:lang w:eastAsia="en-GB"/>
        </w:rPr>
      </w:pPr>
      <w:r w:rsidRPr="00100F37">
        <w:rPr>
          <w:rFonts w:ascii="Times New Roman" w:eastAsia="Calibri" w:hAnsi="Times New Roman" w:cs="Times New Roman"/>
          <w:lang w:eastAsia="en-GB"/>
        </w:rPr>
        <w:t>Coordination étroite avec les autres unités concernées (notamment INTPA.F.1, INTPA.E.2 secteur privé, INTPA.E.3 Finance durable et INTPA.E.4 FEDD +), la DG ENV, les délégations de l’UE, les États membres de l’UE et les organisations partenaires.</w:t>
      </w:r>
    </w:p>
    <w:p w:rsidR="00100F37" w:rsidRPr="00100F37" w:rsidRDefault="00100F37" w:rsidP="00100F37">
      <w:pPr>
        <w:spacing w:after="0" w:line="240" w:lineRule="auto"/>
        <w:ind w:left="426"/>
        <w:jc w:val="both"/>
        <w:rPr>
          <w:rFonts w:ascii="Times New Roman" w:eastAsia="Calibri" w:hAnsi="Times New Roman" w:cs="Times New Roman"/>
          <w:lang w:eastAsia="en-GB"/>
        </w:rPr>
      </w:pPr>
    </w:p>
    <w:p w:rsidR="00B726C8" w:rsidRDefault="00100F37" w:rsidP="00100F37">
      <w:pPr>
        <w:spacing w:after="0" w:line="240" w:lineRule="auto"/>
        <w:ind w:left="426"/>
        <w:jc w:val="both"/>
        <w:rPr>
          <w:rFonts w:ascii="Times New Roman" w:eastAsia="Calibri" w:hAnsi="Times New Roman" w:cs="Times New Roman"/>
          <w:lang w:eastAsia="en-GB"/>
        </w:rPr>
      </w:pPr>
      <w:r w:rsidRPr="00100F37">
        <w:rPr>
          <w:rFonts w:ascii="Times New Roman" w:eastAsia="Calibri" w:hAnsi="Times New Roman" w:cs="Times New Roman"/>
          <w:lang w:eastAsia="en-GB"/>
        </w:rPr>
        <w:t>L’expert national détaché effectuera également toute autre tâche pertinente à l’appui des travaux de l’unité et de la DG, assignée par le chef d’unité ou le chef d’équipe.</w:t>
      </w:r>
    </w:p>
    <w:p w:rsidR="00B726C8" w:rsidRPr="00B726C8" w:rsidRDefault="00B726C8" w:rsidP="00B726C8">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B726C8">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100F37" w:rsidRPr="00100F37">
        <w:rPr>
          <w:rFonts w:ascii="Times New Roman" w:eastAsia="Times New Roman" w:hAnsi="Times New Roman" w:cs="Times New Roman"/>
          <w:lang w:eastAsia="en-GB"/>
        </w:rPr>
        <w:t>environnement, économie verte et/ou développement durable.</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 xml:space="preserve">Au moins 5 ans d’expérience professionnelle avérée à temps plein dans des domaines en rapport avec la coopération au développement, l’environnement/les ressources naturelles et l’économie verte, de préférence au niveau des politiques/stratégiques et des projets/programmes. </w:t>
      </w:r>
    </w:p>
    <w:p w:rsidR="00100F37" w:rsidRPr="00100F37" w:rsidRDefault="00100F37" w:rsidP="00100F37">
      <w:pPr>
        <w:spacing w:after="0" w:line="240" w:lineRule="auto"/>
        <w:ind w:left="709" w:right="60"/>
        <w:jc w:val="both"/>
        <w:rPr>
          <w:rFonts w:ascii="Times New Roman" w:hAnsi="Times New Roman" w:cs="Times New Roman"/>
        </w:rPr>
      </w:pP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Excellente compréhension de l’environnement international/de l’économie verte</w:t>
      </w: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 xml:space="preserve">Expérience dans l’intégration ou « </w:t>
      </w:r>
      <w:proofErr w:type="spellStart"/>
      <w:r w:rsidRPr="00100F37">
        <w:rPr>
          <w:rFonts w:ascii="Times New Roman" w:hAnsi="Times New Roman" w:cs="Times New Roman"/>
        </w:rPr>
        <w:t>main</w:t>
      </w:r>
      <w:r>
        <w:rPr>
          <w:rFonts w:ascii="Times New Roman" w:hAnsi="Times New Roman" w:cs="Times New Roman"/>
        </w:rPr>
        <w:t>s</w:t>
      </w:r>
      <w:r w:rsidRPr="00100F37">
        <w:rPr>
          <w:rFonts w:ascii="Times New Roman" w:hAnsi="Times New Roman" w:cs="Times New Roman"/>
        </w:rPr>
        <w:t>treaming</w:t>
      </w:r>
      <w:proofErr w:type="spellEnd"/>
      <w:r w:rsidRPr="00100F37">
        <w:rPr>
          <w:rFonts w:ascii="Times New Roman" w:hAnsi="Times New Roman" w:cs="Times New Roman"/>
        </w:rPr>
        <w:t xml:space="preserve"> » de l’environnement dans les politiques, plans et/ou projets. </w:t>
      </w: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lastRenderedPageBreak/>
        <w:t xml:space="preserve">Expérience du cycle d’opérations et d’instruments de financement de la coopération au développement, y compris, de préférence, des instruments de financement innovants. </w:t>
      </w: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 xml:space="preserve">Une expérience en matière d’investissements, de développement du secteur privé et d’entreprises vertes serait un atout. </w:t>
      </w: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 xml:space="preserve">Excellente compréhension de la réalité des pays en développement. Une expérience de terrain dans les pays en développement est considérée comme un atout. </w:t>
      </w: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 xml:space="preserve">Capacité à traiter des dossiers complexes et à travailler sous pression. </w:t>
      </w:r>
    </w:p>
    <w:p w:rsidR="00100F37" w:rsidRPr="00100F37"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 xml:space="preserve">Un collaborateur doté d’un sens aigu de l’initiative, de la capacité d’établir des relations de travail constructives avec une diversité de collègues et de partenaires et de la capacité de travailler dans un environnement pluridisciplinaire.  </w:t>
      </w:r>
    </w:p>
    <w:p w:rsidR="00B421A0" w:rsidRDefault="00100F37" w:rsidP="00100F37">
      <w:pPr>
        <w:spacing w:after="0" w:line="240" w:lineRule="auto"/>
        <w:ind w:left="709" w:right="60"/>
        <w:jc w:val="both"/>
        <w:rPr>
          <w:rFonts w:ascii="Times New Roman" w:hAnsi="Times New Roman" w:cs="Times New Roman"/>
        </w:rPr>
      </w:pPr>
      <w:r w:rsidRPr="00100F37">
        <w:rPr>
          <w:rFonts w:ascii="Times New Roman" w:hAnsi="Times New Roman" w:cs="Times New Roman"/>
        </w:rPr>
        <w:t>Une capacité avérée d’analyser, de synthétiser des rapports et de rédiger des recommandations serait un atout.</w:t>
      </w:r>
    </w:p>
    <w:p w:rsidR="009E0E4C" w:rsidRDefault="009E0E4C" w:rsidP="00EB414C">
      <w:pPr>
        <w:tabs>
          <w:tab w:val="left" w:pos="709"/>
        </w:tabs>
        <w:spacing w:after="0" w:line="240" w:lineRule="auto"/>
        <w:ind w:left="709" w:right="60"/>
        <w:jc w:val="both"/>
        <w:rPr>
          <w:rFonts w:ascii="Times New Roman" w:hAnsi="Times New Roman" w:cs="Times New Roman"/>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51075B" w:rsidRPr="00C4363D" w:rsidRDefault="0051075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51075B" w:rsidRDefault="00100F37" w:rsidP="00986EC3">
      <w:pPr>
        <w:tabs>
          <w:tab w:val="left" w:pos="709"/>
        </w:tabs>
        <w:spacing w:after="0" w:line="240" w:lineRule="auto"/>
        <w:ind w:left="709" w:right="60"/>
        <w:jc w:val="both"/>
        <w:rPr>
          <w:rFonts w:ascii="Times New Roman" w:eastAsia="Times New Roman" w:hAnsi="Times New Roman" w:cs="Times New Roman"/>
          <w:lang w:eastAsia="en-GB"/>
        </w:rPr>
      </w:pPr>
      <w:r w:rsidRPr="00100F37">
        <w:rPr>
          <w:rFonts w:ascii="Times New Roman" w:eastAsia="Times New Roman" w:hAnsi="Times New Roman" w:cs="Times New Roman"/>
          <w:lang w:eastAsia="en-GB"/>
        </w:rPr>
        <w:t>Excellente communication écrite et orale en anglais et/ou en français.</w:t>
      </w:r>
      <w:bookmarkStart w:id="0" w:name="_GoBack"/>
      <w:bookmarkEnd w:id="0"/>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FD62E0">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FD62E0" w:rsidRPr="00FD62E0" w:rsidRDefault="00FD62E0">
      <w:pPr>
        <w:pStyle w:val="FootnoteText"/>
        <w:rPr>
          <w:rFonts w:ascii="Times New Roman" w:hAnsi="Times New Roman" w:cs="Times New Roman"/>
        </w:rPr>
      </w:pPr>
      <w:r>
        <w:rPr>
          <w:rStyle w:val="FootnoteReference"/>
        </w:rPr>
        <w:footnoteRef/>
      </w:r>
      <w:r>
        <w:t xml:space="preserve"> </w:t>
      </w:r>
      <w:r w:rsidRPr="00FD62E0">
        <w:t xml:space="preserve">  </w:t>
      </w:r>
      <w:r w:rsidRPr="00FD62E0">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C09"/>
    <w:multiLevelType w:val="hybridMultilevel"/>
    <w:tmpl w:val="BED8DD46"/>
    <w:lvl w:ilvl="0" w:tplc="0F9AD628">
      <w:numFmt w:val="bullet"/>
      <w:lvlText w:val="—"/>
      <w:lvlJc w:val="left"/>
      <w:pPr>
        <w:ind w:left="786" w:hanging="360"/>
      </w:pPr>
      <w:rPr>
        <w:rFonts w:ascii="Times New Roman" w:eastAsia="Calibri" w:hAnsi="Times New Roman" w:cs="Times New Roman" w:hint="default"/>
      </w:rPr>
    </w:lvl>
    <w:lvl w:ilvl="1" w:tplc="549AF13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3337BC2"/>
    <w:multiLevelType w:val="hybridMultilevel"/>
    <w:tmpl w:val="77AA146C"/>
    <w:lvl w:ilvl="0" w:tplc="06C4092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0C7C168E"/>
    <w:multiLevelType w:val="hybridMultilevel"/>
    <w:tmpl w:val="24AAF684"/>
    <w:lvl w:ilvl="0" w:tplc="E75C615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13DE71FB"/>
    <w:multiLevelType w:val="hybridMultilevel"/>
    <w:tmpl w:val="D74E4CB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24C668DD"/>
    <w:multiLevelType w:val="hybridMultilevel"/>
    <w:tmpl w:val="5C9C21A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8"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10"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3CC17EE7"/>
    <w:multiLevelType w:val="hybridMultilevel"/>
    <w:tmpl w:val="6C34A95E"/>
    <w:lvl w:ilvl="0" w:tplc="9668A1E8">
      <w:start w:val="1"/>
      <w:numFmt w:val="bullet"/>
      <w:lvlText w:val="-"/>
      <w:lvlJc w:val="left"/>
      <w:pPr>
        <w:ind w:left="1146" w:hanging="360"/>
      </w:pPr>
      <w:rPr>
        <w:rFonts w:ascii="Calibri" w:eastAsiaTheme="minorHAnsi" w:hAnsi="Calibri" w:cs="Calibri"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9EF7AE8"/>
    <w:multiLevelType w:val="hybridMultilevel"/>
    <w:tmpl w:val="7298CDEE"/>
    <w:lvl w:ilvl="0" w:tplc="9668A1E8">
      <w:start w:val="1"/>
      <w:numFmt w:val="bullet"/>
      <w:lvlText w:val="-"/>
      <w:lvlJc w:val="left"/>
      <w:pPr>
        <w:ind w:left="1146" w:hanging="360"/>
      </w:pPr>
      <w:rPr>
        <w:rFonts w:ascii="Calibri" w:eastAsiaTheme="minorHAnsi" w:hAnsi="Calibri" w:cs="Calibri"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2D1E61"/>
    <w:multiLevelType w:val="hybridMultilevel"/>
    <w:tmpl w:val="62A01E7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6"/>
  </w:num>
  <w:num w:numId="2">
    <w:abstractNumId w:val="8"/>
  </w:num>
  <w:num w:numId="3">
    <w:abstractNumId w:val="16"/>
  </w:num>
  <w:num w:numId="4">
    <w:abstractNumId w:val="12"/>
  </w:num>
  <w:num w:numId="5">
    <w:abstractNumId w:val="25"/>
  </w:num>
  <w:num w:numId="6">
    <w:abstractNumId w:val="9"/>
  </w:num>
  <w:num w:numId="7">
    <w:abstractNumId w:val="15"/>
  </w:num>
  <w:num w:numId="8">
    <w:abstractNumId w:val="11"/>
  </w:num>
  <w:num w:numId="9">
    <w:abstractNumId w:val="5"/>
  </w:num>
  <w:num w:numId="10">
    <w:abstractNumId w:val="26"/>
  </w:num>
  <w:num w:numId="11">
    <w:abstractNumId w:val="28"/>
  </w:num>
  <w:num w:numId="12">
    <w:abstractNumId w:val="23"/>
  </w:num>
  <w:num w:numId="13">
    <w:abstractNumId w:val="18"/>
  </w:num>
  <w:num w:numId="14">
    <w:abstractNumId w:val="20"/>
  </w:num>
  <w:num w:numId="15">
    <w:abstractNumId w:val="22"/>
  </w:num>
  <w:num w:numId="16">
    <w:abstractNumId w:val="17"/>
  </w:num>
  <w:num w:numId="17">
    <w:abstractNumId w:val="27"/>
  </w:num>
  <w:num w:numId="18">
    <w:abstractNumId w:val="13"/>
  </w:num>
  <w:num w:numId="19">
    <w:abstractNumId w:val="19"/>
  </w:num>
  <w:num w:numId="20">
    <w:abstractNumId w:val="10"/>
  </w:num>
  <w:num w:numId="21">
    <w:abstractNumId w:val="1"/>
  </w:num>
  <w:num w:numId="22">
    <w:abstractNumId w:val="7"/>
  </w:num>
  <w:num w:numId="23">
    <w:abstractNumId w:val="24"/>
  </w:num>
  <w:num w:numId="24">
    <w:abstractNumId w:val="2"/>
  </w:num>
  <w:num w:numId="25">
    <w:abstractNumId w:val="4"/>
  </w:num>
  <w:num w:numId="26">
    <w:abstractNumId w:val="21"/>
  </w:num>
  <w:num w:numId="27">
    <w:abstractNumId w:val="0"/>
  </w:num>
  <w:num w:numId="28">
    <w:abstractNumId w:val="14"/>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00F37"/>
    <w:rsid w:val="00130F26"/>
    <w:rsid w:val="00151722"/>
    <w:rsid w:val="00165C06"/>
    <w:rsid w:val="001B3870"/>
    <w:rsid w:val="001C7BD9"/>
    <w:rsid w:val="001D7A41"/>
    <w:rsid w:val="00217B82"/>
    <w:rsid w:val="00242FE7"/>
    <w:rsid w:val="00270E88"/>
    <w:rsid w:val="002E490B"/>
    <w:rsid w:val="00333896"/>
    <w:rsid w:val="00373816"/>
    <w:rsid w:val="003B3135"/>
    <w:rsid w:val="003D6E31"/>
    <w:rsid w:val="00456A5D"/>
    <w:rsid w:val="00462A9F"/>
    <w:rsid w:val="004A1EC4"/>
    <w:rsid w:val="004C0BE3"/>
    <w:rsid w:val="004D54C2"/>
    <w:rsid w:val="0051075B"/>
    <w:rsid w:val="005175E6"/>
    <w:rsid w:val="005D2BE2"/>
    <w:rsid w:val="005E606B"/>
    <w:rsid w:val="00682638"/>
    <w:rsid w:val="006F7C8A"/>
    <w:rsid w:val="00724B13"/>
    <w:rsid w:val="00782068"/>
    <w:rsid w:val="00783069"/>
    <w:rsid w:val="007E0B80"/>
    <w:rsid w:val="00811ED4"/>
    <w:rsid w:val="00861688"/>
    <w:rsid w:val="008B2484"/>
    <w:rsid w:val="008B2D16"/>
    <w:rsid w:val="008D684A"/>
    <w:rsid w:val="00951E71"/>
    <w:rsid w:val="009570EB"/>
    <w:rsid w:val="009612F8"/>
    <w:rsid w:val="00974126"/>
    <w:rsid w:val="00986EC3"/>
    <w:rsid w:val="009E0E4C"/>
    <w:rsid w:val="00A048FC"/>
    <w:rsid w:val="00A32404"/>
    <w:rsid w:val="00A36E9A"/>
    <w:rsid w:val="00A67F3B"/>
    <w:rsid w:val="00A725C2"/>
    <w:rsid w:val="00A75FE3"/>
    <w:rsid w:val="00A8534A"/>
    <w:rsid w:val="00AD4AC5"/>
    <w:rsid w:val="00AF03D6"/>
    <w:rsid w:val="00AF1B8C"/>
    <w:rsid w:val="00B421A0"/>
    <w:rsid w:val="00B617C2"/>
    <w:rsid w:val="00B726C8"/>
    <w:rsid w:val="00B93C1E"/>
    <w:rsid w:val="00C226B5"/>
    <w:rsid w:val="00C22BA3"/>
    <w:rsid w:val="00C4363D"/>
    <w:rsid w:val="00C54D41"/>
    <w:rsid w:val="00C60F8A"/>
    <w:rsid w:val="00C77C1F"/>
    <w:rsid w:val="00CE30FC"/>
    <w:rsid w:val="00CF1A8E"/>
    <w:rsid w:val="00D2783E"/>
    <w:rsid w:val="00D343AE"/>
    <w:rsid w:val="00D63405"/>
    <w:rsid w:val="00D661DA"/>
    <w:rsid w:val="00D86EEB"/>
    <w:rsid w:val="00DB7D1A"/>
    <w:rsid w:val="00DF0835"/>
    <w:rsid w:val="00E774E6"/>
    <w:rsid w:val="00E9679F"/>
    <w:rsid w:val="00EA08A5"/>
    <w:rsid w:val="00EB414C"/>
    <w:rsid w:val="00ED1C7A"/>
    <w:rsid w:val="00F603AD"/>
    <w:rsid w:val="00F60D4E"/>
    <w:rsid w:val="00FD62E0"/>
    <w:rsid w:val="00FF7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981562"/>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FD62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62E0"/>
    <w:rPr>
      <w:sz w:val="20"/>
      <w:szCs w:val="20"/>
      <w:lang w:val="fr-BE"/>
    </w:rPr>
  </w:style>
  <w:style w:type="character" w:styleId="FootnoteReference">
    <w:name w:val="footnote reference"/>
    <w:basedOn w:val="DefaultParagraphFont"/>
    <w:uiPriority w:val="99"/>
    <w:semiHidden/>
    <w:unhideWhenUsed/>
    <w:rsid w:val="00FD62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uropass.cedefop.europa.eu/fr/documents/curriculum-vitae" TargetMode="External"/><Relationship Id="rId4" Type="http://schemas.openxmlformats.org/officeDocument/2006/relationships/settings" Target="settings.xml"/><Relationship Id="rId9" Type="http://schemas.openxmlformats.org/officeDocument/2006/relationships/hyperlink" Target="mailto:Chantal.Marijnissen@ec.europa.e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C5AA7-4846-4876-A19D-E311620E2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2424</Words>
  <Characters>14108</Characters>
  <Application>Microsoft Office Word</Application>
  <DocSecurity>0</DocSecurity>
  <Lines>256</Lines>
  <Paragraphs>114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2022-09-05T09:19:00Z</dcterms:created>
  <dcterms:modified xsi:type="dcterms:W3CDTF">2022-09-05T09:19:00Z</dcterms:modified>
</cp:coreProperties>
</file>