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100F37" w:rsidP="00A24EC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INTPA-</w:t>
            </w:r>
            <w:r w:rsidR="0020306B">
              <w:rPr>
                <w:rFonts w:ascii="Times New Roman" w:eastAsia="Times New Roman" w:hAnsi="Times New Roman" w:cs="Times New Roman"/>
                <w:b/>
                <w:sz w:val="24"/>
                <w:szCs w:val="20"/>
                <w:lang w:eastAsia="en-GB"/>
              </w:rPr>
              <w:t>B-</w:t>
            </w:r>
            <w:r w:rsidR="00A24ECE">
              <w:rPr>
                <w:rFonts w:ascii="Times New Roman" w:eastAsia="Times New Roman" w:hAnsi="Times New Roman" w:cs="Times New Roman"/>
                <w:b/>
                <w:sz w:val="24"/>
                <w:szCs w:val="20"/>
                <w:lang w:eastAsia="en-GB"/>
              </w:rPr>
              <w:t>2</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 xml:space="preserve">Chef </w:t>
            </w:r>
            <w:proofErr w:type="gramStart"/>
            <w:r w:rsidRPr="00C4363D">
              <w:rPr>
                <w:rFonts w:ascii="Times New Roman" w:eastAsia="Times New Roman" w:hAnsi="Times New Roman" w:cs="Times New Roman"/>
                <w:b/>
                <w:lang w:eastAsia="en-GB"/>
              </w:rPr>
              <w:t>d’unité</w:t>
            </w:r>
            <w:r w:rsidR="0051075B">
              <w:rPr>
                <w:rFonts w:ascii="Times New Roman" w:eastAsia="Times New Roman" w:hAnsi="Times New Roman" w:cs="Times New Roman"/>
                <w:b/>
                <w:lang w:eastAsia="en-GB"/>
              </w:rPr>
              <w:t xml:space="preserve"> </w:t>
            </w:r>
            <w:r w:rsidRPr="00C4363D">
              <w:rPr>
                <w:rFonts w:ascii="Times New Roman" w:eastAsia="Times New Roman" w:hAnsi="Times New Roman" w:cs="Times New Roman"/>
                <w:b/>
                <w:lang w:eastAsia="en-GB"/>
              </w:rPr>
              <w:t> :</w:t>
            </w:r>
            <w:proofErr w:type="gramEnd"/>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A24ECE" w:rsidRPr="00A24ECE" w:rsidRDefault="00A24ECE" w:rsidP="00A24ECE">
            <w:pPr>
              <w:spacing w:after="0" w:line="240" w:lineRule="auto"/>
              <w:rPr>
                <w:rFonts w:ascii="Times New Roman" w:eastAsia="Calibri" w:hAnsi="Times New Roman" w:cs="Times New Roman"/>
                <w:b/>
                <w:lang w:val="es-ES" w:eastAsia="en-GB"/>
              </w:rPr>
            </w:pPr>
            <w:r w:rsidRPr="00A24ECE">
              <w:rPr>
                <w:rFonts w:ascii="Times New Roman" w:eastAsia="Calibri" w:hAnsi="Times New Roman" w:cs="Times New Roman"/>
                <w:b/>
                <w:lang w:val="es-ES" w:eastAsia="en-GB"/>
              </w:rPr>
              <w:t>Felice</w:t>
            </w:r>
            <w:r>
              <w:rPr>
                <w:rFonts w:ascii="Times New Roman" w:eastAsia="Calibri" w:hAnsi="Times New Roman" w:cs="Times New Roman"/>
                <w:b/>
                <w:lang w:val="es-ES" w:eastAsia="en-GB"/>
              </w:rPr>
              <w:t xml:space="preserve"> ZACCHEO</w:t>
            </w:r>
          </w:p>
          <w:p w:rsidR="00A24ECE" w:rsidRPr="00A24ECE" w:rsidRDefault="00A24ECE" w:rsidP="00A24ECE">
            <w:pPr>
              <w:spacing w:after="0" w:line="240" w:lineRule="auto"/>
              <w:rPr>
                <w:rFonts w:ascii="Times New Roman" w:eastAsia="Calibri" w:hAnsi="Times New Roman" w:cs="Times New Roman"/>
                <w:b/>
                <w:color w:val="0000FF"/>
                <w:lang w:val="es-ES" w:eastAsia="en-GB"/>
              </w:rPr>
            </w:pPr>
            <w:hyperlink r:id="rId9" w:history="1">
              <w:r w:rsidRPr="00A24ECE">
                <w:rPr>
                  <w:rStyle w:val="Hyperlink"/>
                  <w:rFonts w:ascii="Times New Roman" w:eastAsia="Calibri" w:hAnsi="Times New Roman" w:cs="Times New Roman"/>
                  <w:b/>
                  <w:color w:val="0000FF"/>
                  <w:lang w:val="es-ES" w:eastAsia="en-GB"/>
                </w:rPr>
                <w:t>Felice.ZACCHEO@ec.europa.eu</w:t>
              </w:r>
            </w:hyperlink>
            <w:r w:rsidRPr="00A24ECE">
              <w:rPr>
                <w:rFonts w:ascii="Times New Roman" w:eastAsia="Calibri" w:hAnsi="Times New Roman" w:cs="Times New Roman"/>
                <w:b/>
                <w:color w:val="0000FF"/>
                <w:lang w:val="es-ES" w:eastAsia="en-GB"/>
              </w:rPr>
              <w:t xml:space="preserve"> </w:t>
            </w:r>
          </w:p>
          <w:p w:rsidR="00E9679F" w:rsidRDefault="00A24ECE" w:rsidP="00A24ECE">
            <w:pPr>
              <w:spacing w:after="0" w:line="240" w:lineRule="auto"/>
              <w:rPr>
                <w:rFonts w:ascii="Times New Roman" w:eastAsia="Calibri" w:hAnsi="Times New Roman" w:cs="Times New Roman"/>
                <w:b/>
                <w:lang w:val="es-ES" w:eastAsia="en-GB"/>
              </w:rPr>
            </w:pPr>
            <w:r w:rsidRPr="00A24ECE">
              <w:rPr>
                <w:rFonts w:ascii="Times New Roman" w:eastAsia="Calibri" w:hAnsi="Times New Roman" w:cs="Times New Roman"/>
                <w:b/>
                <w:lang w:val="es-ES" w:eastAsia="en-GB"/>
              </w:rPr>
              <w:t>+ 32 229-66856</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51075B" w:rsidP="00EA08A5">
            <w:pPr>
              <w:spacing w:after="0" w:line="240" w:lineRule="auto"/>
              <w:ind w:right="1317"/>
              <w:jc w:val="both"/>
              <w:rPr>
                <w:rFonts w:ascii="Times New Roman" w:hAnsi="Times New Roman" w:cs="Times New Roman"/>
                <w:b/>
              </w:rPr>
            </w:pPr>
            <w:r>
              <w:rPr>
                <w:rFonts w:ascii="Times New Roman" w:hAnsi="Times New Roman" w:cs="Times New Roman"/>
                <w:b/>
              </w:rPr>
              <w:t>4</w:t>
            </w:r>
            <w:r w:rsidRPr="0051075B">
              <w:rPr>
                <w:rFonts w:ascii="Times New Roman" w:hAnsi="Times New Roman" w:cs="Times New Roman"/>
                <w:b/>
                <w:vertAlign w:val="superscript"/>
              </w:rPr>
              <w:t>ème</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2</w:t>
            </w:r>
            <w:r w:rsidR="005E606B" w:rsidRPr="00C4363D">
              <w:rPr>
                <w:rFonts w:ascii="Times New Roman" w:hAnsi="Times New Roman" w:cs="Times New Roman"/>
                <w:b/>
              </w:rPr>
              <w:t xml:space="preserve"> </w:t>
            </w:r>
          </w:p>
          <w:p w:rsidR="00130F26" w:rsidRPr="00C4363D" w:rsidRDefault="00100F37"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FD62E0">
              <w:rPr>
                <w:rStyle w:val="FootnoteReference"/>
                <w:rFonts w:ascii="Times New Roman" w:hAnsi="Times New Roman" w:cs="Times New Roman"/>
                <w:b/>
              </w:rPr>
              <w:footnoteReference w:id="1"/>
            </w:r>
          </w:p>
          <w:p w:rsidR="00130F26" w:rsidRPr="00C4363D" w:rsidRDefault="007E0B80" w:rsidP="00AF03D6">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Pr="00C4363D">
              <w:rPr>
                <w:rFonts w:ascii="Times New Roman" w:eastAsia="MS Minngs" w:hAnsi="Times New Roman" w:cs="Times New Roman"/>
                <w:b/>
                <w:bCs/>
                <w:lang w:val="fr-FR" w:eastAsia="en-GB"/>
              </w:rPr>
              <w:sym w:font="Wingdings 2" w:char="F0A3"/>
            </w:r>
            <w:r w:rsidRPr="00C4363D">
              <w:rPr>
                <w:rFonts w:ascii="Times New Roman" w:eastAsia="MS Minngs" w:hAnsi="Times New Roman" w:cs="Times New Roman"/>
                <w:b/>
                <w:bCs/>
                <w:lang w:val="fr-FR" w:eastAsia="en-GB"/>
              </w:rPr>
              <w:t xml:space="preserve">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AF03D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xml:space="preserve">: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7E0B80" w:rsidP="00E741E0">
            <w:pPr>
              <w:rPr>
                <w:rFonts w:ascii="Times New Roman" w:eastAsia="Times New Roman" w:hAnsi="Times New Roman" w:cs="Times New Roman"/>
                <w:b/>
                <w:sz w:val="24"/>
                <w:szCs w:val="20"/>
                <w:lang w:eastAsia="en-GB"/>
              </w:rPr>
            </w:pPr>
            <w:r w:rsidRPr="00C4363D">
              <w:rPr>
                <w:rFonts w:ascii="Times New Roman" w:eastAsia="MS Minngs" w:hAnsi="Times New Roman" w:cs="Times New Roman"/>
                <w:b/>
                <w:bCs/>
                <w:lang w:val="fr-FR" w:eastAsia="en-GB"/>
              </w:rPr>
              <w:sym w:font="Wingdings 2" w:char="F0A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7E0B80" w:rsidP="00C4363D">
            <w:pPr>
              <w:spacing w:after="0"/>
              <w:rPr>
                <w:rFonts w:ascii="Times New Roman" w:eastAsia="Times New Roman" w:hAnsi="Times New Roman" w:cs="Times New Roman"/>
                <w:b/>
                <w:bCs/>
                <w:lang w:eastAsia="en-GB"/>
              </w:rPr>
            </w:pPr>
            <w:r w:rsidRPr="00C4363D">
              <w:rPr>
                <w:rFonts w:ascii="Times New Roman" w:eastAsia="MS Minngs" w:hAnsi="Times New Roman" w:cs="Times New Roman"/>
                <w:b/>
                <w:bCs/>
                <w:lang w:val="fr-FR" w:eastAsia="en-GB"/>
              </w:rPr>
              <w:sym w:font="Wingdings 2" w:char="F0A3"/>
            </w:r>
            <w:r w:rsidR="00130F26" w:rsidRPr="00745B97">
              <w:rPr>
                <w:rFonts w:ascii="Times New Roman" w:eastAsia="Times New Roman" w:hAnsi="Times New Roman" w:cs="Times New Roman"/>
                <w:b/>
                <w:bCs/>
                <w:lang w:eastAsia="en-GB"/>
              </w:rPr>
              <w:t xml:space="preserve">    </w:t>
            </w:r>
            <w:proofErr w:type="gramStart"/>
            <w:r w:rsidR="00130F26" w:rsidRPr="00745B97">
              <w:rPr>
                <w:rFonts w:ascii="Times New Roman" w:eastAsia="Times New Roman" w:hAnsi="Times New Roman" w:cs="Times New Roman"/>
                <w:b/>
                <w:bCs/>
                <w:lang w:eastAsia="en-GB"/>
              </w:rPr>
              <w:t>aux</w:t>
            </w:r>
            <w:proofErr w:type="gramEnd"/>
            <w:r w:rsidR="00130F26"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007E0B80" w:rsidRPr="00C4363D">
              <w:rPr>
                <w:rFonts w:ascii="Times New Roman" w:eastAsia="MS Minngs" w:hAnsi="Times New Roman" w:cs="Times New Roman"/>
                <w:b/>
                <w:bCs/>
                <w:lang w:val="fr-FR" w:eastAsia="en-GB"/>
              </w:rPr>
              <w:sym w:font="Wingdings 2" w:char="F0A3"/>
            </w:r>
            <w:r w:rsidR="007E0B80" w:rsidRPr="00C4363D">
              <w:rPr>
                <w:rFonts w:ascii="Times New Roman" w:eastAsia="MS Minngs" w:hAnsi="Times New Roman" w:cs="Times New Roman"/>
                <w:b/>
                <w:bCs/>
                <w:lang w:val="fr-FR" w:eastAsia="en-GB"/>
              </w:rPr>
              <w:t xml:space="preserve"> </w:t>
            </w:r>
            <w:r w:rsidRPr="00745B97">
              <w:rPr>
                <w:rFonts w:ascii="Times New Roman" w:eastAsia="Times New Roman" w:hAnsi="Times New Roman" w:cs="Times New Roman"/>
                <w:b/>
                <w:lang w:eastAsia="en-GB"/>
              </w:rPr>
              <w:t xml:space="preserve"> Islande </w:t>
            </w:r>
            <w:r w:rsidR="007E0B80" w:rsidRPr="00C4363D">
              <w:rPr>
                <w:rFonts w:ascii="Times New Roman" w:eastAsia="MS Minngs" w:hAnsi="Times New Roman" w:cs="Times New Roman"/>
                <w:b/>
                <w:bCs/>
                <w:lang w:val="fr-FR" w:eastAsia="en-GB"/>
              </w:rPr>
              <w:sym w:font="Wingdings 2" w:char="F0A3"/>
            </w:r>
            <w:r w:rsidR="007E0B80" w:rsidRPr="00C4363D">
              <w:rPr>
                <w:rFonts w:ascii="Times New Roman" w:eastAsia="MS Minngs" w:hAnsi="Times New Roman" w:cs="Times New Roman"/>
                <w:b/>
                <w:bCs/>
                <w:lang w:val="fr-FR" w:eastAsia="en-GB"/>
              </w:rPr>
              <w:t xml:space="preserve"> </w:t>
            </w:r>
            <w:r w:rsidRPr="00745B97">
              <w:rPr>
                <w:rFonts w:ascii="Times New Roman" w:eastAsia="Times New Roman" w:hAnsi="Times New Roman" w:cs="Times New Roman"/>
                <w:b/>
                <w:lang w:eastAsia="en-GB"/>
              </w:rPr>
              <w:t xml:space="preserve"> Liechtenstein </w:t>
            </w:r>
            <w:r w:rsidR="007E0B80" w:rsidRPr="00C4363D">
              <w:rPr>
                <w:rFonts w:ascii="Times New Roman" w:eastAsia="MS Minngs" w:hAnsi="Times New Roman" w:cs="Times New Roman"/>
                <w:b/>
                <w:bCs/>
                <w:lang w:val="fr-FR" w:eastAsia="en-GB"/>
              </w:rPr>
              <w:sym w:font="Wingdings 2" w:char="F0A3"/>
            </w:r>
            <w:r w:rsidR="007E0B80" w:rsidRPr="00C4363D">
              <w:rPr>
                <w:rFonts w:ascii="Times New Roman" w:eastAsia="MS Minngs" w:hAnsi="Times New Roman" w:cs="Times New Roman"/>
                <w:b/>
                <w:bCs/>
                <w:lang w:val="fr-FR" w:eastAsia="en-GB"/>
              </w:rPr>
              <w:t xml:space="preserve"> </w:t>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007E0B80" w:rsidRPr="00C4363D">
              <w:rPr>
                <w:rFonts w:ascii="Times New Roman" w:eastAsia="MS Minngs" w:hAnsi="Times New Roman" w:cs="Times New Roman"/>
                <w:b/>
                <w:bCs/>
                <w:lang w:val="fr-FR" w:eastAsia="en-GB"/>
              </w:rPr>
              <w:sym w:font="Wingdings 2" w:char="F0A3"/>
            </w:r>
            <w:r w:rsidRPr="00745B97">
              <w:rPr>
                <w:rFonts w:ascii="Times New Roman" w:eastAsia="Times New Roman" w:hAnsi="Times New Roman" w:cs="Times New Roman"/>
                <w:b/>
                <w:bCs/>
                <w:lang w:eastAsia="en-GB"/>
              </w:rPr>
              <w:t xml:space="preserve">    </w:t>
            </w:r>
            <w:r w:rsidR="007E0B80">
              <w:rPr>
                <w:rFonts w:ascii="Times New Roman" w:eastAsia="Times New Roman" w:hAnsi="Times New Roman" w:cs="Times New Roman"/>
                <w:b/>
                <w:bCs/>
                <w:lang w:eastAsia="en-GB"/>
              </w:rPr>
              <w:t>aux pays tiers suivants:</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A24ECE" w:rsidRDefault="00A24ECE" w:rsidP="00A24ECE">
      <w:pPr>
        <w:spacing w:after="0" w:line="240" w:lineRule="auto"/>
        <w:ind w:left="426"/>
        <w:jc w:val="both"/>
        <w:rPr>
          <w:rFonts w:ascii="Times New Roman" w:eastAsia="Calibri" w:hAnsi="Times New Roman" w:cs="Times New Roman"/>
          <w:lang w:eastAsia="en-GB"/>
        </w:rPr>
      </w:pPr>
      <w:r w:rsidRPr="00A24ECE">
        <w:rPr>
          <w:rFonts w:ascii="Times New Roman" w:eastAsia="Calibri" w:hAnsi="Times New Roman" w:cs="Times New Roman"/>
          <w:lang w:eastAsia="en-GB"/>
        </w:rPr>
        <w:t>La direction générale des partenariats internationaux (DG INTPA) a pour mission de contribuer au développement durable, à l’éradication de la pauvreté, à la paix et à la protection des droits de l’homme, au moyen de partenariats internationaux qui défendent et promeuvent les valeurs et les intérêts européens. La DG INTPA joue un rôle de premier plan en ce qui concerne la formulation des politiques de l’UE dans le domaine de la coopération internationale et la mise en place de partenariats avec des pays et des organisations internationales du monde entier.</w:t>
      </w:r>
    </w:p>
    <w:p w:rsidR="00A24ECE" w:rsidRPr="00A24ECE" w:rsidRDefault="00A24ECE" w:rsidP="00A24ECE">
      <w:pPr>
        <w:spacing w:after="0" w:line="240" w:lineRule="auto"/>
        <w:ind w:left="426"/>
        <w:jc w:val="both"/>
        <w:rPr>
          <w:rFonts w:ascii="Times New Roman" w:eastAsia="Calibri" w:hAnsi="Times New Roman" w:cs="Times New Roman"/>
          <w:lang w:eastAsia="en-GB"/>
        </w:rPr>
      </w:pPr>
    </w:p>
    <w:p w:rsidR="00A24ECE" w:rsidRDefault="00A24ECE" w:rsidP="00A24ECE">
      <w:pPr>
        <w:spacing w:after="0" w:line="240" w:lineRule="auto"/>
        <w:ind w:left="426"/>
        <w:jc w:val="both"/>
        <w:rPr>
          <w:rFonts w:ascii="Times New Roman" w:eastAsia="Calibri" w:hAnsi="Times New Roman" w:cs="Times New Roman"/>
          <w:lang w:eastAsia="en-GB"/>
        </w:rPr>
      </w:pPr>
      <w:r w:rsidRPr="00A24ECE">
        <w:rPr>
          <w:rFonts w:ascii="Times New Roman" w:eastAsia="Calibri" w:hAnsi="Times New Roman" w:cs="Times New Roman"/>
          <w:lang w:eastAsia="en-GB"/>
        </w:rPr>
        <w:t>Direction B</w:t>
      </w:r>
      <w:proofErr w:type="gramStart"/>
      <w:r w:rsidRPr="00A24ECE">
        <w:rPr>
          <w:rFonts w:ascii="Times New Roman" w:eastAsia="Calibri" w:hAnsi="Times New Roman" w:cs="Times New Roman"/>
          <w:lang w:eastAsia="en-GB"/>
        </w:rPr>
        <w:t xml:space="preserve"> «AMERIQUE</w:t>
      </w:r>
      <w:proofErr w:type="gramEnd"/>
      <w:r w:rsidRPr="00A24ECE">
        <w:rPr>
          <w:rFonts w:ascii="Times New Roman" w:eastAsia="Calibri" w:hAnsi="Times New Roman" w:cs="Times New Roman"/>
          <w:lang w:eastAsia="en-GB"/>
        </w:rPr>
        <w:t xml:space="preserve"> LATINE ET CARAÏBES; Relations avec les PAYS ET TERRITOIRES D’OUTRE MER» est chargée d’élaborer et de mettre en œuvre le programme de partenariats internationaux dans cette région. </w:t>
      </w:r>
    </w:p>
    <w:p w:rsidR="00A24ECE" w:rsidRDefault="00A24ECE" w:rsidP="00A24ECE">
      <w:pPr>
        <w:spacing w:after="0" w:line="240" w:lineRule="auto"/>
        <w:ind w:left="426"/>
        <w:jc w:val="both"/>
        <w:rPr>
          <w:rFonts w:ascii="Times New Roman" w:eastAsia="Calibri" w:hAnsi="Times New Roman" w:cs="Times New Roman"/>
          <w:lang w:eastAsia="en-GB"/>
        </w:rPr>
      </w:pPr>
    </w:p>
    <w:p w:rsidR="00A24ECE" w:rsidRDefault="00A24ECE" w:rsidP="00A24ECE">
      <w:pPr>
        <w:spacing w:after="0" w:line="240" w:lineRule="auto"/>
        <w:ind w:left="426"/>
        <w:jc w:val="both"/>
        <w:rPr>
          <w:rFonts w:ascii="Times New Roman" w:eastAsia="Calibri" w:hAnsi="Times New Roman" w:cs="Times New Roman"/>
          <w:lang w:eastAsia="en-GB"/>
        </w:rPr>
      </w:pPr>
      <w:r w:rsidRPr="00A24ECE">
        <w:rPr>
          <w:rFonts w:ascii="Times New Roman" w:eastAsia="Calibri" w:hAnsi="Times New Roman" w:cs="Times New Roman"/>
          <w:lang w:eastAsia="en-GB"/>
        </w:rPr>
        <w:t>L’unité INTPA B.2 est chargée de la coopération de l’UE avec le Mexique, l’Amérique centrale et les Caraïbes. Elle est également chargée de la préparation et de la mise en œuvre des programmes régionaux en Amérique latine et dans les Caraïbes, gérés au niveau central à Bruxelles. L’unité s’occupe des programmes régionaux dans la région dans les domaines du développement humain, de la stratégie numérique et du pacte vert. Elle travaille en étroite coopération avec les délégations de l’UE et les services du siège concernés, ainsi qu’avec un large éventail de parties prenantes et de partenaires chargés de la mise en œuvre. L’unité INTPA B2 compte environ 28 personnes réparties dans quatre secteurs.</w:t>
      </w:r>
    </w:p>
    <w:p w:rsidR="00A24ECE" w:rsidRPr="00A24ECE" w:rsidRDefault="00A24ECE" w:rsidP="00A24ECE">
      <w:pPr>
        <w:spacing w:after="0" w:line="240" w:lineRule="auto"/>
        <w:ind w:left="426"/>
        <w:jc w:val="both"/>
        <w:rPr>
          <w:rFonts w:ascii="Times New Roman" w:eastAsia="Calibri" w:hAnsi="Times New Roman" w:cs="Times New Roman"/>
          <w:lang w:eastAsia="en-GB"/>
        </w:rPr>
      </w:pPr>
    </w:p>
    <w:p w:rsidR="00A24ECE" w:rsidRPr="00A24ECE" w:rsidRDefault="00A24ECE" w:rsidP="00A24ECE">
      <w:pPr>
        <w:spacing w:after="0" w:line="240" w:lineRule="auto"/>
        <w:ind w:left="426"/>
        <w:jc w:val="both"/>
        <w:rPr>
          <w:rFonts w:ascii="Times New Roman" w:eastAsia="Calibri" w:hAnsi="Times New Roman" w:cs="Times New Roman"/>
          <w:lang w:eastAsia="en-GB"/>
        </w:rPr>
      </w:pPr>
      <w:r w:rsidRPr="00A24ECE">
        <w:rPr>
          <w:rFonts w:ascii="Times New Roman" w:eastAsia="Calibri" w:hAnsi="Times New Roman" w:cs="Times New Roman"/>
          <w:lang w:eastAsia="en-GB"/>
        </w:rPr>
        <w:t xml:space="preserve">Nous proposons un poste intéressant et motivant de « responsable de programme/Relations extérieures » pour les programmes centralisés en Amérique latine et dans les Caraïbes dans le domaine du numérique et du développement humain. </w:t>
      </w:r>
    </w:p>
    <w:p w:rsidR="00A24ECE" w:rsidRPr="00A24ECE" w:rsidRDefault="00A24ECE" w:rsidP="00A24ECE">
      <w:pPr>
        <w:spacing w:after="0" w:line="240" w:lineRule="auto"/>
        <w:ind w:left="426"/>
        <w:jc w:val="both"/>
        <w:rPr>
          <w:rFonts w:ascii="Times New Roman" w:eastAsia="Calibri" w:hAnsi="Times New Roman" w:cs="Times New Roman"/>
          <w:lang w:eastAsia="en-GB"/>
        </w:rPr>
      </w:pPr>
    </w:p>
    <w:p w:rsidR="00A24ECE" w:rsidRPr="00A24ECE" w:rsidRDefault="00A24ECE" w:rsidP="00A24ECE">
      <w:pPr>
        <w:spacing w:after="0" w:line="240" w:lineRule="auto"/>
        <w:ind w:left="426"/>
        <w:jc w:val="both"/>
        <w:rPr>
          <w:rFonts w:ascii="Times New Roman" w:eastAsia="Calibri" w:hAnsi="Times New Roman" w:cs="Times New Roman"/>
          <w:lang w:eastAsia="en-GB"/>
        </w:rPr>
      </w:pPr>
      <w:r w:rsidRPr="00A24ECE">
        <w:rPr>
          <w:rFonts w:ascii="Times New Roman" w:eastAsia="Calibri" w:hAnsi="Times New Roman" w:cs="Times New Roman"/>
          <w:lang w:eastAsia="en-GB"/>
        </w:rPr>
        <w:lastRenderedPageBreak/>
        <w:t xml:space="preserve">Les principales tâches consisteraient notamment à: </w:t>
      </w:r>
    </w:p>
    <w:p w:rsidR="00A24ECE" w:rsidRPr="00A24ECE" w:rsidRDefault="00A24ECE" w:rsidP="00A24ECE">
      <w:pPr>
        <w:pStyle w:val="ListParagraph"/>
        <w:numPr>
          <w:ilvl w:val="0"/>
          <w:numId w:val="30"/>
        </w:numPr>
        <w:spacing w:after="0" w:line="240" w:lineRule="auto"/>
        <w:ind w:left="709" w:hanging="283"/>
        <w:jc w:val="both"/>
        <w:rPr>
          <w:rFonts w:ascii="Times New Roman" w:eastAsia="Calibri" w:hAnsi="Times New Roman" w:cs="Times New Roman"/>
          <w:lang w:eastAsia="en-GB"/>
        </w:rPr>
      </w:pPr>
      <w:r w:rsidRPr="00A24ECE">
        <w:rPr>
          <w:rFonts w:ascii="Times New Roman" w:eastAsia="Calibri" w:hAnsi="Times New Roman" w:cs="Times New Roman"/>
          <w:lang w:eastAsia="en-GB"/>
        </w:rPr>
        <w:t>Contribuer à la gestion des programmes régionaux de l’UE, en particulier ceux liés à l’alliance numérique UE-ALC dans le contexte plus large de la stratégie « Global Gateway »;</w:t>
      </w:r>
    </w:p>
    <w:p w:rsidR="00A24ECE" w:rsidRPr="00A24ECE" w:rsidRDefault="00A24ECE" w:rsidP="00A24ECE">
      <w:pPr>
        <w:pStyle w:val="ListParagraph"/>
        <w:numPr>
          <w:ilvl w:val="0"/>
          <w:numId w:val="30"/>
        </w:numPr>
        <w:spacing w:after="0" w:line="240" w:lineRule="auto"/>
        <w:ind w:left="709" w:hanging="283"/>
        <w:jc w:val="both"/>
        <w:rPr>
          <w:rFonts w:ascii="Times New Roman" w:eastAsia="Calibri" w:hAnsi="Times New Roman" w:cs="Times New Roman"/>
          <w:lang w:eastAsia="en-GB"/>
        </w:rPr>
      </w:pPr>
      <w:r w:rsidRPr="00A24ECE">
        <w:rPr>
          <w:rFonts w:ascii="Times New Roman" w:eastAsia="Calibri" w:hAnsi="Times New Roman" w:cs="Times New Roman"/>
          <w:lang w:eastAsia="en-GB"/>
        </w:rPr>
        <w:t>Contribuer aux dialogues sectoriels et régionaux sur les transitions numériques en Amérique latine et dans les Caraïbes;</w:t>
      </w:r>
    </w:p>
    <w:p w:rsidR="00A24ECE" w:rsidRPr="00A24ECE" w:rsidRDefault="00A24ECE" w:rsidP="00A24ECE">
      <w:pPr>
        <w:pStyle w:val="ListParagraph"/>
        <w:numPr>
          <w:ilvl w:val="0"/>
          <w:numId w:val="30"/>
        </w:numPr>
        <w:spacing w:after="0" w:line="240" w:lineRule="auto"/>
        <w:ind w:left="709" w:hanging="283"/>
        <w:jc w:val="both"/>
        <w:rPr>
          <w:rFonts w:ascii="Times New Roman" w:eastAsia="Calibri" w:hAnsi="Times New Roman" w:cs="Times New Roman"/>
          <w:lang w:eastAsia="en-GB"/>
        </w:rPr>
      </w:pPr>
      <w:r w:rsidRPr="00A24ECE">
        <w:rPr>
          <w:rFonts w:ascii="Times New Roman" w:eastAsia="Calibri" w:hAnsi="Times New Roman" w:cs="Times New Roman"/>
          <w:lang w:eastAsia="en-GB"/>
        </w:rPr>
        <w:t xml:space="preserve">Fournir une analyse sectorielle et contribuer à l’élaboration de propositions de programmes, de projets, d’actions de soutien sectoriel, etc., en étroite coopération avec les délégations de l’UE dans la région d’Amérique latine et des Caraïbes, ainsi qu’avec les États membres de l’UE, dans un esprit de collaboration « </w:t>
      </w:r>
      <w:proofErr w:type="spellStart"/>
      <w:r w:rsidRPr="00A24ECE">
        <w:rPr>
          <w:rFonts w:ascii="Times New Roman" w:eastAsia="Calibri" w:hAnsi="Times New Roman" w:cs="Times New Roman"/>
          <w:lang w:eastAsia="en-GB"/>
        </w:rPr>
        <w:t>Equipe</w:t>
      </w:r>
      <w:proofErr w:type="spellEnd"/>
      <w:r w:rsidRPr="00A24ECE">
        <w:rPr>
          <w:rFonts w:ascii="Times New Roman" w:eastAsia="Calibri" w:hAnsi="Times New Roman" w:cs="Times New Roman"/>
          <w:lang w:eastAsia="en-GB"/>
        </w:rPr>
        <w:t xml:space="preserve"> Europe ».</w:t>
      </w:r>
    </w:p>
    <w:p w:rsidR="00A24ECE" w:rsidRPr="00A24ECE" w:rsidRDefault="00A24ECE" w:rsidP="00A24ECE">
      <w:pPr>
        <w:pStyle w:val="ListParagraph"/>
        <w:numPr>
          <w:ilvl w:val="0"/>
          <w:numId w:val="30"/>
        </w:numPr>
        <w:spacing w:after="0" w:line="240" w:lineRule="auto"/>
        <w:ind w:left="709" w:hanging="283"/>
        <w:jc w:val="both"/>
        <w:rPr>
          <w:rFonts w:ascii="Times New Roman" w:eastAsia="Calibri" w:hAnsi="Times New Roman" w:cs="Times New Roman"/>
          <w:lang w:eastAsia="en-GB"/>
        </w:rPr>
      </w:pPr>
      <w:r w:rsidRPr="00A24ECE">
        <w:rPr>
          <w:rFonts w:ascii="Times New Roman" w:eastAsia="Calibri" w:hAnsi="Times New Roman" w:cs="Times New Roman"/>
          <w:lang w:eastAsia="en-GB"/>
        </w:rPr>
        <w:t>Favoriser les relations avec les principaux partenaires et parties prenantes, y compris la coordination et la mise en réseau avec les acteurs concernés, tant à l’extérieur qu’au sein des institutions de l’UE (notamment: Les unités thématiques et géographiques de la DG INTPA, les autres DG de la Commission, le SEAE, le FPI, les États membres, les institutions financières, les gouvernements et organisations partenaires, ainsi que la société civile et les parties prenantes du secteur privé, le cas échéant);</w:t>
      </w:r>
    </w:p>
    <w:p w:rsidR="00A24ECE" w:rsidRPr="00A24ECE" w:rsidRDefault="00A24ECE" w:rsidP="00A24ECE">
      <w:pPr>
        <w:pStyle w:val="ListParagraph"/>
        <w:numPr>
          <w:ilvl w:val="0"/>
          <w:numId w:val="30"/>
        </w:numPr>
        <w:spacing w:after="0" w:line="240" w:lineRule="auto"/>
        <w:ind w:left="709" w:hanging="283"/>
        <w:jc w:val="both"/>
        <w:rPr>
          <w:rFonts w:ascii="Times New Roman" w:eastAsia="Calibri" w:hAnsi="Times New Roman" w:cs="Times New Roman"/>
          <w:lang w:eastAsia="en-GB"/>
        </w:rPr>
      </w:pPr>
      <w:r w:rsidRPr="00A24ECE">
        <w:rPr>
          <w:rFonts w:ascii="Times New Roman" w:eastAsia="Calibri" w:hAnsi="Times New Roman" w:cs="Times New Roman"/>
          <w:lang w:eastAsia="en-GB"/>
        </w:rPr>
        <w:t>Fournir une assistance pour tous les aspects des procédures de passation de marchés, selon les besoins (par exemple, la rédaction des termes de référence, la préparation et le lancement des appels d’offres et des appels à propositions, etc.).</w:t>
      </w:r>
    </w:p>
    <w:p w:rsidR="00A24ECE" w:rsidRPr="00A24ECE" w:rsidRDefault="00A24ECE" w:rsidP="00A24ECE">
      <w:pPr>
        <w:pStyle w:val="ListParagraph"/>
        <w:numPr>
          <w:ilvl w:val="0"/>
          <w:numId w:val="30"/>
        </w:numPr>
        <w:spacing w:after="0" w:line="240" w:lineRule="auto"/>
        <w:ind w:left="709" w:hanging="283"/>
        <w:jc w:val="both"/>
        <w:rPr>
          <w:rFonts w:ascii="Times New Roman" w:eastAsia="Calibri" w:hAnsi="Times New Roman" w:cs="Times New Roman"/>
          <w:lang w:eastAsia="en-GB"/>
        </w:rPr>
      </w:pPr>
      <w:r w:rsidRPr="00A24ECE">
        <w:rPr>
          <w:rFonts w:ascii="Times New Roman" w:eastAsia="Calibri" w:hAnsi="Times New Roman" w:cs="Times New Roman"/>
          <w:lang w:eastAsia="en-GB"/>
        </w:rPr>
        <w:t>Suivre la mise en œuvre des programmes/projets centralisés, en tenant compte des conditions énoncées dans les décisions relatives au programme/projet approuvé, ainsi que des procédures contractuelles et financières correspondantes.</w:t>
      </w:r>
    </w:p>
    <w:p w:rsidR="00A24ECE" w:rsidRPr="00A24ECE" w:rsidRDefault="00A24ECE" w:rsidP="00A24ECE">
      <w:pPr>
        <w:pStyle w:val="ListParagraph"/>
        <w:numPr>
          <w:ilvl w:val="0"/>
          <w:numId w:val="30"/>
        </w:numPr>
        <w:spacing w:after="0" w:line="240" w:lineRule="auto"/>
        <w:ind w:left="709" w:hanging="283"/>
        <w:jc w:val="both"/>
        <w:rPr>
          <w:rFonts w:ascii="Times New Roman" w:eastAsia="Calibri" w:hAnsi="Times New Roman" w:cs="Times New Roman"/>
          <w:lang w:eastAsia="en-GB"/>
        </w:rPr>
      </w:pPr>
      <w:r w:rsidRPr="00A24ECE">
        <w:rPr>
          <w:rFonts w:ascii="Times New Roman" w:eastAsia="Calibri" w:hAnsi="Times New Roman" w:cs="Times New Roman"/>
          <w:lang w:eastAsia="en-GB"/>
        </w:rPr>
        <w:t>Assister aux réunions de gestion et de suivi des projets en cours, rédiger des rapports sur l’état d’avancement des projets et, le cas échéant, proposer des mesures appropriées.</w:t>
      </w:r>
    </w:p>
    <w:p w:rsidR="00B726C8" w:rsidRPr="00A24ECE" w:rsidRDefault="00A24ECE" w:rsidP="00A24ECE">
      <w:pPr>
        <w:pStyle w:val="ListParagraph"/>
        <w:numPr>
          <w:ilvl w:val="0"/>
          <w:numId w:val="30"/>
        </w:numPr>
        <w:spacing w:after="0" w:line="240" w:lineRule="auto"/>
        <w:ind w:left="709" w:hanging="283"/>
        <w:jc w:val="both"/>
        <w:rPr>
          <w:rFonts w:ascii="Times New Roman" w:eastAsia="Calibri" w:hAnsi="Times New Roman" w:cs="Times New Roman"/>
          <w:lang w:eastAsia="en-GB"/>
        </w:rPr>
      </w:pPr>
      <w:r w:rsidRPr="00A24ECE">
        <w:rPr>
          <w:rFonts w:ascii="Times New Roman" w:eastAsia="Calibri" w:hAnsi="Times New Roman" w:cs="Times New Roman"/>
          <w:lang w:eastAsia="en-GB"/>
        </w:rPr>
        <w:t>Contribuer à créer les synergies nécessaires entre l’alliance numérique et d’autres priorités de l’UE, y compris les travaux sur les droits de l’homme et l’égalité entre les hommes et les femmes, la cohésion sociale, le pacte vert et le changement climatique, ainsi que les transitions équitables et durables.</w:t>
      </w:r>
    </w:p>
    <w:p w:rsidR="00B726C8" w:rsidRPr="00B726C8" w:rsidRDefault="00B726C8" w:rsidP="00B726C8">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B726C8">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A24ECE" w:rsidRPr="00A24ECE">
        <w:rPr>
          <w:rFonts w:ascii="Times New Roman" w:eastAsia="Times New Roman" w:hAnsi="Times New Roman" w:cs="Times New Roman"/>
          <w:lang w:eastAsia="en-GB"/>
        </w:rPr>
        <w:t>développement numérique, commerce, économie, droit ou relations internationales, et/ou autres domaines pertinents pour les domaines couverts par le secteur  «Stratégie numérique et développement humain» de l’unité</w:t>
      </w:r>
      <w:r w:rsidR="00100F37" w:rsidRPr="00100F37">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A24ECE" w:rsidRPr="00A24ECE" w:rsidRDefault="00A24ECE" w:rsidP="00A24ECE">
      <w:pPr>
        <w:spacing w:after="0" w:line="240" w:lineRule="auto"/>
        <w:ind w:left="709" w:right="60"/>
        <w:jc w:val="both"/>
        <w:rPr>
          <w:rFonts w:ascii="Times New Roman" w:hAnsi="Times New Roman" w:cs="Times New Roman"/>
        </w:rPr>
      </w:pPr>
      <w:r w:rsidRPr="00A24ECE">
        <w:rPr>
          <w:rFonts w:ascii="Times New Roman" w:hAnsi="Times New Roman" w:cs="Times New Roman"/>
        </w:rPr>
        <w:t xml:space="preserve">Essentiel: </w:t>
      </w:r>
    </w:p>
    <w:p w:rsidR="00A24ECE" w:rsidRPr="00A24ECE" w:rsidRDefault="00A24ECE" w:rsidP="00A24ECE">
      <w:pPr>
        <w:spacing w:after="0" w:line="240" w:lineRule="auto"/>
        <w:ind w:left="993" w:right="60" w:hanging="284"/>
        <w:jc w:val="both"/>
        <w:rPr>
          <w:rFonts w:ascii="Times New Roman" w:hAnsi="Times New Roman" w:cs="Times New Roman"/>
        </w:rPr>
      </w:pPr>
      <w:r w:rsidRPr="00A24ECE">
        <w:rPr>
          <w:rFonts w:ascii="Times New Roman" w:hAnsi="Times New Roman" w:cs="Times New Roman"/>
        </w:rPr>
        <w:t>•</w:t>
      </w:r>
      <w:r w:rsidRPr="00A24ECE">
        <w:rPr>
          <w:rFonts w:ascii="Times New Roman" w:hAnsi="Times New Roman" w:cs="Times New Roman"/>
        </w:rPr>
        <w:tab/>
        <w:t xml:space="preserve">Expérience professionnelle: au moins 2 ans </w:t>
      </w:r>
    </w:p>
    <w:p w:rsidR="00A24ECE" w:rsidRPr="00A24ECE" w:rsidRDefault="00A24ECE" w:rsidP="00A24ECE">
      <w:pPr>
        <w:spacing w:after="0" w:line="240" w:lineRule="auto"/>
        <w:ind w:left="709" w:right="60"/>
        <w:jc w:val="both"/>
        <w:rPr>
          <w:rFonts w:ascii="Times New Roman" w:hAnsi="Times New Roman" w:cs="Times New Roman"/>
        </w:rPr>
      </w:pPr>
    </w:p>
    <w:p w:rsidR="00A24ECE" w:rsidRPr="00A24ECE" w:rsidRDefault="00A24ECE" w:rsidP="00A24ECE">
      <w:pPr>
        <w:spacing w:after="0" w:line="240" w:lineRule="auto"/>
        <w:ind w:left="709" w:right="60"/>
        <w:jc w:val="both"/>
        <w:rPr>
          <w:rFonts w:ascii="Times New Roman" w:hAnsi="Times New Roman" w:cs="Times New Roman"/>
        </w:rPr>
      </w:pPr>
      <w:r w:rsidRPr="00A24ECE">
        <w:rPr>
          <w:rFonts w:ascii="Times New Roman" w:hAnsi="Times New Roman" w:cs="Times New Roman"/>
        </w:rPr>
        <w:t xml:space="preserve">Souhaitable: </w:t>
      </w:r>
    </w:p>
    <w:p w:rsidR="00A24ECE" w:rsidRPr="00A24ECE" w:rsidRDefault="00A24ECE" w:rsidP="00A24ECE">
      <w:pPr>
        <w:spacing w:after="0" w:line="240" w:lineRule="auto"/>
        <w:ind w:left="993" w:right="60" w:hanging="284"/>
        <w:jc w:val="both"/>
        <w:rPr>
          <w:rFonts w:ascii="Times New Roman" w:hAnsi="Times New Roman" w:cs="Times New Roman"/>
        </w:rPr>
      </w:pPr>
      <w:r w:rsidRPr="00A24ECE">
        <w:rPr>
          <w:rFonts w:ascii="Times New Roman" w:hAnsi="Times New Roman" w:cs="Times New Roman"/>
        </w:rPr>
        <w:t>•</w:t>
      </w:r>
      <w:r w:rsidRPr="00A24ECE">
        <w:rPr>
          <w:rFonts w:ascii="Times New Roman" w:hAnsi="Times New Roman" w:cs="Times New Roman"/>
        </w:rPr>
        <w:tab/>
        <w:t>Expérience dans les pays ALC</w:t>
      </w:r>
    </w:p>
    <w:p w:rsidR="00A24ECE" w:rsidRPr="00A24ECE" w:rsidRDefault="00A24ECE" w:rsidP="00A24ECE">
      <w:pPr>
        <w:spacing w:after="0" w:line="240" w:lineRule="auto"/>
        <w:ind w:left="993" w:right="60" w:hanging="284"/>
        <w:jc w:val="both"/>
        <w:rPr>
          <w:rFonts w:ascii="Times New Roman" w:hAnsi="Times New Roman" w:cs="Times New Roman"/>
        </w:rPr>
      </w:pPr>
      <w:r w:rsidRPr="00A24ECE">
        <w:rPr>
          <w:rFonts w:ascii="Times New Roman" w:hAnsi="Times New Roman" w:cs="Times New Roman"/>
        </w:rPr>
        <w:t>•</w:t>
      </w:r>
      <w:r w:rsidRPr="00A24ECE">
        <w:rPr>
          <w:rFonts w:ascii="Times New Roman" w:hAnsi="Times New Roman" w:cs="Times New Roman"/>
        </w:rPr>
        <w:tab/>
        <w:t>Expérience dans le domaine et/ou dans les délégations de l’UE/agences des Nations unies/organisations internationales, etc.</w:t>
      </w:r>
    </w:p>
    <w:p w:rsidR="00B421A0" w:rsidRDefault="00A24ECE" w:rsidP="00A24ECE">
      <w:pPr>
        <w:spacing w:after="0" w:line="240" w:lineRule="auto"/>
        <w:ind w:left="993" w:right="60" w:hanging="284"/>
        <w:jc w:val="both"/>
        <w:rPr>
          <w:rFonts w:ascii="Times New Roman" w:hAnsi="Times New Roman" w:cs="Times New Roman"/>
        </w:rPr>
      </w:pPr>
      <w:r w:rsidRPr="00A24ECE">
        <w:rPr>
          <w:rFonts w:ascii="Times New Roman" w:hAnsi="Times New Roman" w:cs="Times New Roman"/>
        </w:rPr>
        <w:t>•</w:t>
      </w:r>
      <w:r w:rsidRPr="00A24ECE">
        <w:rPr>
          <w:rFonts w:ascii="Times New Roman" w:hAnsi="Times New Roman" w:cs="Times New Roman"/>
        </w:rPr>
        <w:tab/>
        <w:t>Une expérience diversifiée avec différents types d’acteurs, y compris des secteurs économiques (conseil pour les entreprises du secteur privé/public, les entreprises à but non lucratif, les organisations de la société civile, les établissements de formation, les universités, les municipalités, les agences de coopération). Zones: développement numérique, économie, sciences politiques/sociales, administration/gestion des entreprises.</w:t>
      </w:r>
    </w:p>
    <w:p w:rsidR="009E0E4C" w:rsidRDefault="009E0E4C" w:rsidP="00EB414C">
      <w:pPr>
        <w:tabs>
          <w:tab w:val="left" w:pos="709"/>
        </w:tabs>
        <w:spacing w:after="0" w:line="240" w:lineRule="auto"/>
        <w:ind w:left="709" w:right="60"/>
        <w:jc w:val="both"/>
        <w:rPr>
          <w:rFonts w:ascii="Times New Roman" w:hAnsi="Times New Roman" w:cs="Times New Roman"/>
        </w:rPr>
      </w:pPr>
    </w:p>
    <w:p w:rsidR="00130F26"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51075B" w:rsidRPr="00C4363D" w:rsidRDefault="0051075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A24ECE" w:rsidRPr="00A24ECE" w:rsidRDefault="00A24ECE" w:rsidP="00A24ECE">
      <w:pPr>
        <w:tabs>
          <w:tab w:val="left" w:pos="709"/>
        </w:tabs>
        <w:spacing w:after="0" w:line="240" w:lineRule="auto"/>
        <w:ind w:left="709" w:right="60"/>
        <w:jc w:val="both"/>
        <w:rPr>
          <w:rFonts w:ascii="Times New Roman" w:eastAsia="Times New Roman" w:hAnsi="Times New Roman" w:cs="Times New Roman"/>
          <w:lang w:eastAsia="en-GB"/>
        </w:rPr>
      </w:pPr>
      <w:r w:rsidRPr="00A24ECE">
        <w:rPr>
          <w:rFonts w:ascii="Times New Roman" w:eastAsia="Times New Roman" w:hAnsi="Times New Roman" w:cs="Times New Roman"/>
          <w:lang w:eastAsia="en-GB"/>
        </w:rPr>
        <w:t>Espagnol</w:t>
      </w:r>
      <w:r w:rsidRPr="00A24ECE">
        <w:rPr>
          <w:rFonts w:ascii="Times New Roman" w:eastAsia="Times New Roman" w:hAnsi="Times New Roman" w:cs="Times New Roman"/>
          <w:lang w:eastAsia="en-GB"/>
        </w:rPr>
        <w:tab/>
        <w:t>B2</w:t>
      </w:r>
      <w:r w:rsidRPr="00A24ECE">
        <w:rPr>
          <w:rFonts w:ascii="Times New Roman" w:eastAsia="Times New Roman" w:hAnsi="Times New Roman" w:cs="Times New Roman"/>
          <w:lang w:eastAsia="en-GB"/>
        </w:rPr>
        <w:tab/>
      </w:r>
      <w:proofErr w:type="spellStart"/>
      <w:r w:rsidRPr="00A24ECE">
        <w:rPr>
          <w:rFonts w:ascii="Times New Roman" w:eastAsia="Times New Roman" w:hAnsi="Times New Roman" w:cs="Times New Roman"/>
          <w:lang w:eastAsia="en-GB"/>
        </w:rPr>
        <w:t>B2</w:t>
      </w:r>
      <w:proofErr w:type="spellEnd"/>
      <w:r w:rsidRPr="00A24ECE">
        <w:rPr>
          <w:rFonts w:ascii="Times New Roman" w:eastAsia="Times New Roman" w:hAnsi="Times New Roman" w:cs="Times New Roman"/>
          <w:lang w:eastAsia="en-GB"/>
        </w:rPr>
        <w:tab/>
      </w:r>
      <w:proofErr w:type="spellStart"/>
      <w:r w:rsidRPr="00A24ECE">
        <w:rPr>
          <w:rFonts w:ascii="Times New Roman" w:eastAsia="Times New Roman" w:hAnsi="Times New Roman" w:cs="Times New Roman"/>
          <w:lang w:eastAsia="en-GB"/>
        </w:rPr>
        <w:t>B2</w:t>
      </w:r>
      <w:proofErr w:type="spellEnd"/>
      <w:r w:rsidRPr="00A24ECE">
        <w:rPr>
          <w:rFonts w:ascii="Times New Roman" w:eastAsia="Times New Roman" w:hAnsi="Times New Roman" w:cs="Times New Roman"/>
          <w:lang w:eastAsia="en-GB"/>
        </w:rPr>
        <w:tab/>
      </w:r>
      <w:proofErr w:type="spellStart"/>
      <w:r w:rsidRPr="00A24ECE">
        <w:rPr>
          <w:rFonts w:ascii="Times New Roman" w:eastAsia="Times New Roman" w:hAnsi="Times New Roman" w:cs="Times New Roman"/>
          <w:lang w:eastAsia="en-GB"/>
        </w:rPr>
        <w:t>B2</w:t>
      </w:r>
      <w:proofErr w:type="spellEnd"/>
      <w:r w:rsidRPr="00A24ECE">
        <w:rPr>
          <w:rFonts w:ascii="Times New Roman" w:eastAsia="Times New Roman" w:hAnsi="Times New Roman" w:cs="Times New Roman"/>
          <w:lang w:eastAsia="en-GB"/>
        </w:rPr>
        <w:tab/>
      </w:r>
      <w:proofErr w:type="spellStart"/>
      <w:r w:rsidRPr="00A24ECE">
        <w:rPr>
          <w:rFonts w:ascii="Times New Roman" w:eastAsia="Times New Roman" w:hAnsi="Times New Roman" w:cs="Times New Roman"/>
          <w:lang w:eastAsia="en-GB"/>
        </w:rPr>
        <w:t>B2</w:t>
      </w:r>
      <w:proofErr w:type="spellEnd"/>
    </w:p>
    <w:p w:rsidR="00130F26" w:rsidRPr="0051075B" w:rsidRDefault="00A24ECE" w:rsidP="00A24ECE">
      <w:pPr>
        <w:tabs>
          <w:tab w:val="left" w:pos="709"/>
        </w:tabs>
        <w:spacing w:after="0" w:line="240" w:lineRule="auto"/>
        <w:ind w:left="709" w:right="60"/>
        <w:jc w:val="both"/>
        <w:rPr>
          <w:rFonts w:ascii="Times New Roman" w:eastAsia="Times New Roman" w:hAnsi="Times New Roman" w:cs="Times New Roman"/>
          <w:lang w:eastAsia="en-GB"/>
        </w:rPr>
      </w:pPr>
      <w:r w:rsidRPr="00A24ECE">
        <w:rPr>
          <w:rFonts w:ascii="Times New Roman" w:eastAsia="Times New Roman" w:hAnsi="Times New Roman" w:cs="Times New Roman"/>
          <w:lang w:eastAsia="en-GB"/>
        </w:rPr>
        <w:t>Anglais</w:t>
      </w:r>
      <w:r w:rsidRPr="00A24ECE">
        <w:rPr>
          <w:rFonts w:ascii="Times New Roman" w:eastAsia="Times New Roman" w:hAnsi="Times New Roman" w:cs="Times New Roman"/>
          <w:lang w:eastAsia="en-GB"/>
        </w:rPr>
        <w:tab/>
      </w:r>
      <w:r w:rsidRPr="00A24ECE">
        <w:rPr>
          <w:rFonts w:ascii="Times New Roman" w:eastAsia="Times New Roman" w:hAnsi="Times New Roman" w:cs="Times New Roman"/>
          <w:lang w:eastAsia="en-GB"/>
        </w:rPr>
        <w:tab/>
        <w:t>C1</w:t>
      </w:r>
      <w:r w:rsidRPr="00A24ECE">
        <w:rPr>
          <w:rFonts w:ascii="Times New Roman" w:eastAsia="Times New Roman" w:hAnsi="Times New Roman" w:cs="Times New Roman"/>
          <w:lang w:eastAsia="en-GB"/>
        </w:rPr>
        <w:tab/>
      </w:r>
      <w:proofErr w:type="spellStart"/>
      <w:r w:rsidRPr="00A24ECE">
        <w:rPr>
          <w:rFonts w:ascii="Times New Roman" w:eastAsia="Times New Roman" w:hAnsi="Times New Roman" w:cs="Times New Roman"/>
          <w:lang w:eastAsia="en-GB"/>
        </w:rPr>
        <w:t>C1</w:t>
      </w:r>
      <w:proofErr w:type="spellEnd"/>
      <w:r w:rsidRPr="00A24ECE">
        <w:rPr>
          <w:rFonts w:ascii="Times New Roman" w:eastAsia="Times New Roman" w:hAnsi="Times New Roman" w:cs="Times New Roman"/>
          <w:lang w:eastAsia="en-GB"/>
        </w:rPr>
        <w:tab/>
      </w:r>
      <w:proofErr w:type="spellStart"/>
      <w:r w:rsidRPr="00A24ECE">
        <w:rPr>
          <w:rFonts w:ascii="Times New Roman" w:eastAsia="Times New Roman" w:hAnsi="Times New Roman" w:cs="Times New Roman"/>
          <w:lang w:eastAsia="en-GB"/>
        </w:rPr>
        <w:t>C1</w:t>
      </w:r>
      <w:proofErr w:type="spellEnd"/>
      <w:r w:rsidRPr="00A24ECE">
        <w:rPr>
          <w:rFonts w:ascii="Times New Roman" w:eastAsia="Times New Roman" w:hAnsi="Times New Roman" w:cs="Times New Roman"/>
          <w:lang w:eastAsia="en-GB"/>
        </w:rPr>
        <w:tab/>
      </w:r>
      <w:proofErr w:type="spellStart"/>
      <w:r w:rsidRPr="00A24ECE">
        <w:rPr>
          <w:rFonts w:ascii="Times New Roman" w:eastAsia="Times New Roman" w:hAnsi="Times New Roman" w:cs="Times New Roman"/>
          <w:lang w:eastAsia="en-GB"/>
        </w:rPr>
        <w:t>C1</w:t>
      </w:r>
      <w:proofErr w:type="spellEnd"/>
      <w:r w:rsidRPr="00A24ECE">
        <w:rPr>
          <w:rFonts w:ascii="Times New Roman" w:eastAsia="Times New Roman" w:hAnsi="Times New Roman" w:cs="Times New Roman"/>
          <w:lang w:eastAsia="en-GB"/>
        </w:rPr>
        <w:tab/>
      </w:r>
      <w:proofErr w:type="spellStart"/>
      <w:r w:rsidRPr="00A24ECE">
        <w:rPr>
          <w:rFonts w:ascii="Times New Roman" w:eastAsia="Times New Roman" w:hAnsi="Times New Roman" w:cs="Times New Roman"/>
          <w:lang w:eastAsia="en-GB"/>
        </w:rPr>
        <w:t>C1</w:t>
      </w:r>
      <w:proofErr w:type="spellEnd"/>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Default="000C6B7E" w:rsidP="00130F26">
      <w:pPr>
        <w:spacing w:after="0" w:line="240" w:lineRule="auto"/>
        <w:rPr>
          <w:rFonts w:ascii="Times New Roman" w:eastAsia="Times New Roman" w:hAnsi="Times New Roman" w:cs="Times New Roman"/>
          <w:sz w:val="24"/>
          <w:szCs w:val="20"/>
          <w:lang w:eastAsia="en-GB"/>
        </w:rPr>
      </w:pPr>
    </w:p>
    <w:p w:rsidR="00A24ECE" w:rsidRDefault="00A24ECE" w:rsidP="00130F26">
      <w:pPr>
        <w:spacing w:after="0" w:line="240" w:lineRule="auto"/>
        <w:rPr>
          <w:rFonts w:ascii="Times New Roman" w:eastAsia="Times New Roman" w:hAnsi="Times New Roman" w:cs="Times New Roman"/>
          <w:sz w:val="24"/>
          <w:szCs w:val="20"/>
          <w:lang w:eastAsia="en-GB"/>
        </w:rPr>
      </w:pPr>
    </w:p>
    <w:p w:rsidR="00A24ECE" w:rsidRDefault="00A24ECE" w:rsidP="00130F26">
      <w:pPr>
        <w:spacing w:after="0" w:line="240" w:lineRule="auto"/>
        <w:rPr>
          <w:rFonts w:ascii="Times New Roman" w:eastAsia="Times New Roman" w:hAnsi="Times New Roman" w:cs="Times New Roman"/>
          <w:sz w:val="24"/>
          <w:szCs w:val="20"/>
          <w:lang w:eastAsia="en-GB"/>
        </w:rPr>
      </w:pPr>
    </w:p>
    <w:p w:rsidR="00A24ECE" w:rsidRPr="00745B97" w:rsidRDefault="00A24ECE" w:rsidP="00130F26">
      <w:pPr>
        <w:spacing w:after="0" w:line="240" w:lineRule="auto"/>
        <w:rPr>
          <w:rFonts w:ascii="Times New Roman" w:eastAsia="Times New Roman" w:hAnsi="Times New Roman" w:cs="Times New Roman"/>
          <w:sz w:val="24"/>
          <w:szCs w:val="20"/>
          <w:lang w:eastAsia="en-GB"/>
        </w:rPr>
      </w:pPr>
      <w:bookmarkStart w:id="0" w:name="_GoBack"/>
      <w:bookmarkEnd w:id="0"/>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lastRenderedPageBreak/>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FD62E0">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FD62E0" w:rsidRPr="00FD62E0" w:rsidRDefault="00FD62E0">
      <w:pPr>
        <w:pStyle w:val="FootnoteText"/>
        <w:rPr>
          <w:rFonts w:ascii="Times New Roman" w:hAnsi="Times New Roman" w:cs="Times New Roman"/>
        </w:rPr>
      </w:pPr>
      <w:r>
        <w:rPr>
          <w:rStyle w:val="FootnoteReference"/>
        </w:rPr>
        <w:footnoteRef/>
      </w:r>
      <w:r>
        <w:t xml:space="preserve"> </w:t>
      </w:r>
      <w:r w:rsidRPr="00FD62E0">
        <w:t xml:space="preserve">  </w:t>
      </w:r>
      <w:r w:rsidRPr="00FD62E0">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C09"/>
    <w:multiLevelType w:val="hybridMultilevel"/>
    <w:tmpl w:val="BED8DD46"/>
    <w:lvl w:ilvl="0" w:tplc="0F9AD628">
      <w:numFmt w:val="bullet"/>
      <w:lvlText w:val="—"/>
      <w:lvlJc w:val="left"/>
      <w:pPr>
        <w:ind w:left="786" w:hanging="360"/>
      </w:pPr>
      <w:rPr>
        <w:rFonts w:ascii="Times New Roman" w:eastAsia="Calibri" w:hAnsi="Times New Roman" w:cs="Times New Roman" w:hint="default"/>
      </w:rPr>
    </w:lvl>
    <w:lvl w:ilvl="1" w:tplc="549AF13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3337BC2"/>
    <w:multiLevelType w:val="hybridMultilevel"/>
    <w:tmpl w:val="77AA146C"/>
    <w:lvl w:ilvl="0" w:tplc="06C4092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15:restartNumberingAfterBreak="0">
    <w:nsid w:val="0C7C168E"/>
    <w:multiLevelType w:val="hybridMultilevel"/>
    <w:tmpl w:val="24AAF684"/>
    <w:lvl w:ilvl="0" w:tplc="E75C615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13DE71FB"/>
    <w:multiLevelType w:val="hybridMultilevel"/>
    <w:tmpl w:val="D74E4CB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24C668DD"/>
    <w:multiLevelType w:val="hybridMultilevel"/>
    <w:tmpl w:val="5C9C21A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10"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3CC17EE7"/>
    <w:multiLevelType w:val="hybridMultilevel"/>
    <w:tmpl w:val="6C34A95E"/>
    <w:lvl w:ilvl="0" w:tplc="9668A1E8">
      <w:start w:val="1"/>
      <w:numFmt w:val="bullet"/>
      <w:lvlText w:val="-"/>
      <w:lvlJc w:val="left"/>
      <w:pPr>
        <w:ind w:left="1146" w:hanging="360"/>
      </w:pPr>
      <w:rPr>
        <w:rFonts w:ascii="Calibri" w:eastAsiaTheme="minorHAnsi" w:hAnsi="Calibri" w:cs="Calibri"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7"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59EF7AE8"/>
    <w:multiLevelType w:val="hybridMultilevel"/>
    <w:tmpl w:val="7298CDEE"/>
    <w:lvl w:ilvl="0" w:tplc="9668A1E8">
      <w:start w:val="1"/>
      <w:numFmt w:val="bullet"/>
      <w:lvlText w:val="-"/>
      <w:lvlJc w:val="left"/>
      <w:pPr>
        <w:ind w:left="1146" w:hanging="360"/>
      </w:pPr>
      <w:rPr>
        <w:rFonts w:ascii="Calibri" w:eastAsiaTheme="minorHAnsi" w:hAnsi="Calibri" w:cs="Calibri"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2"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662D1E61"/>
    <w:multiLevelType w:val="hybridMultilevel"/>
    <w:tmpl w:val="62A01E7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 w15:restartNumberingAfterBreak="0">
    <w:nsid w:val="6C0D072F"/>
    <w:multiLevelType w:val="hybridMultilevel"/>
    <w:tmpl w:val="A8740C86"/>
    <w:lvl w:ilvl="0" w:tplc="9668A1E8">
      <w:start w:val="1"/>
      <w:numFmt w:val="bullet"/>
      <w:lvlText w:val="-"/>
      <w:lvlJc w:val="left"/>
      <w:pPr>
        <w:ind w:left="1146" w:hanging="360"/>
      </w:pPr>
      <w:rPr>
        <w:rFonts w:ascii="Calibri" w:eastAsiaTheme="minorHAnsi" w:hAnsi="Calibri" w:cs="Calibri"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6"/>
  </w:num>
  <w:num w:numId="2">
    <w:abstractNumId w:val="8"/>
  </w:num>
  <w:num w:numId="3">
    <w:abstractNumId w:val="16"/>
  </w:num>
  <w:num w:numId="4">
    <w:abstractNumId w:val="12"/>
  </w:num>
  <w:num w:numId="5">
    <w:abstractNumId w:val="25"/>
  </w:num>
  <w:num w:numId="6">
    <w:abstractNumId w:val="9"/>
  </w:num>
  <w:num w:numId="7">
    <w:abstractNumId w:val="15"/>
  </w:num>
  <w:num w:numId="8">
    <w:abstractNumId w:val="11"/>
  </w:num>
  <w:num w:numId="9">
    <w:abstractNumId w:val="5"/>
  </w:num>
  <w:num w:numId="10">
    <w:abstractNumId w:val="26"/>
  </w:num>
  <w:num w:numId="11">
    <w:abstractNumId w:val="29"/>
  </w:num>
  <w:num w:numId="12">
    <w:abstractNumId w:val="23"/>
  </w:num>
  <w:num w:numId="13">
    <w:abstractNumId w:val="18"/>
  </w:num>
  <w:num w:numId="14">
    <w:abstractNumId w:val="20"/>
  </w:num>
  <w:num w:numId="15">
    <w:abstractNumId w:val="22"/>
  </w:num>
  <w:num w:numId="16">
    <w:abstractNumId w:val="17"/>
  </w:num>
  <w:num w:numId="17">
    <w:abstractNumId w:val="28"/>
  </w:num>
  <w:num w:numId="18">
    <w:abstractNumId w:val="13"/>
  </w:num>
  <w:num w:numId="19">
    <w:abstractNumId w:val="19"/>
  </w:num>
  <w:num w:numId="20">
    <w:abstractNumId w:val="10"/>
  </w:num>
  <w:num w:numId="21">
    <w:abstractNumId w:val="1"/>
  </w:num>
  <w:num w:numId="22">
    <w:abstractNumId w:val="7"/>
  </w:num>
  <w:num w:numId="23">
    <w:abstractNumId w:val="24"/>
  </w:num>
  <w:num w:numId="24">
    <w:abstractNumId w:val="2"/>
  </w:num>
  <w:num w:numId="25">
    <w:abstractNumId w:val="4"/>
  </w:num>
  <w:num w:numId="26">
    <w:abstractNumId w:val="21"/>
  </w:num>
  <w:num w:numId="27">
    <w:abstractNumId w:val="0"/>
  </w:num>
  <w:num w:numId="28">
    <w:abstractNumId w:val="14"/>
  </w:num>
  <w:num w:numId="29">
    <w:abstractNumId w:val="3"/>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414D7"/>
    <w:rsid w:val="000B03DD"/>
    <w:rsid w:val="000C6B7E"/>
    <w:rsid w:val="00100F37"/>
    <w:rsid w:val="00130F26"/>
    <w:rsid w:val="00151722"/>
    <w:rsid w:val="00165C06"/>
    <w:rsid w:val="001B3870"/>
    <w:rsid w:val="001C7BD9"/>
    <w:rsid w:val="001D7A41"/>
    <w:rsid w:val="0020306B"/>
    <w:rsid w:val="00217B82"/>
    <w:rsid w:val="00242FE7"/>
    <w:rsid w:val="00270E88"/>
    <w:rsid w:val="002E490B"/>
    <w:rsid w:val="00333896"/>
    <w:rsid w:val="00373816"/>
    <w:rsid w:val="003B3135"/>
    <w:rsid w:val="003D6E31"/>
    <w:rsid w:val="00456A5D"/>
    <w:rsid w:val="00462A9F"/>
    <w:rsid w:val="004A1EC4"/>
    <w:rsid w:val="004C0BE3"/>
    <w:rsid w:val="004D54C2"/>
    <w:rsid w:val="0051075B"/>
    <w:rsid w:val="005175E6"/>
    <w:rsid w:val="005D2BE2"/>
    <w:rsid w:val="005E606B"/>
    <w:rsid w:val="00682638"/>
    <w:rsid w:val="006F7C8A"/>
    <w:rsid w:val="00724B13"/>
    <w:rsid w:val="00782068"/>
    <w:rsid w:val="00783069"/>
    <w:rsid w:val="007E0B80"/>
    <w:rsid w:val="00811ED4"/>
    <w:rsid w:val="00861688"/>
    <w:rsid w:val="008B2484"/>
    <w:rsid w:val="008B2D16"/>
    <w:rsid w:val="008D684A"/>
    <w:rsid w:val="00951E71"/>
    <w:rsid w:val="009570EB"/>
    <w:rsid w:val="009612F8"/>
    <w:rsid w:val="00974126"/>
    <w:rsid w:val="00986EC3"/>
    <w:rsid w:val="009E0E4C"/>
    <w:rsid w:val="00A048FC"/>
    <w:rsid w:val="00A24ECE"/>
    <w:rsid w:val="00A32404"/>
    <w:rsid w:val="00A36E9A"/>
    <w:rsid w:val="00A67F3B"/>
    <w:rsid w:val="00A725C2"/>
    <w:rsid w:val="00A75FE3"/>
    <w:rsid w:val="00A8534A"/>
    <w:rsid w:val="00AD4AC5"/>
    <w:rsid w:val="00AF03D6"/>
    <w:rsid w:val="00AF1B8C"/>
    <w:rsid w:val="00B421A0"/>
    <w:rsid w:val="00B617C2"/>
    <w:rsid w:val="00B726C8"/>
    <w:rsid w:val="00B93C1E"/>
    <w:rsid w:val="00C226B5"/>
    <w:rsid w:val="00C22BA3"/>
    <w:rsid w:val="00C4363D"/>
    <w:rsid w:val="00C54D41"/>
    <w:rsid w:val="00C60F8A"/>
    <w:rsid w:val="00C77C1F"/>
    <w:rsid w:val="00CE30FC"/>
    <w:rsid w:val="00CF1A8E"/>
    <w:rsid w:val="00D2783E"/>
    <w:rsid w:val="00D343AE"/>
    <w:rsid w:val="00D63405"/>
    <w:rsid w:val="00D661DA"/>
    <w:rsid w:val="00D86EEB"/>
    <w:rsid w:val="00DB7D1A"/>
    <w:rsid w:val="00DF0835"/>
    <w:rsid w:val="00E774E6"/>
    <w:rsid w:val="00E9679F"/>
    <w:rsid w:val="00EA08A5"/>
    <w:rsid w:val="00EB414C"/>
    <w:rsid w:val="00ED1C7A"/>
    <w:rsid w:val="00F603AD"/>
    <w:rsid w:val="00F60D4E"/>
    <w:rsid w:val="00FD62E0"/>
    <w:rsid w:val="00FF7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981562"/>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FD62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62E0"/>
    <w:rPr>
      <w:sz w:val="20"/>
      <w:szCs w:val="20"/>
      <w:lang w:val="fr-BE"/>
    </w:rPr>
  </w:style>
  <w:style w:type="character" w:styleId="FootnoteReference">
    <w:name w:val="footnote reference"/>
    <w:basedOn w:val="DefaultParagraphFont"/>
    <w:uiPriority w:val="99"/>
    <w:semiHidden/>
    <w:unhideWhenUsed/>
    <w:rsid w:val="00FD62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uropass.cedefop.europa.eu/fr/documents/curriculum-vitae" TargetMode="External"/><Relationship Id="rId4" Type="http://schemas.openxmlformats.org/officeDocument/2006/relationships/settings" Target="settings.xml"/><Relationship Id="rId9" Type="http://schemas.openxmlformats.org/officeDocument/2006/relationships/hyperlink" Target="mailto:Felice.ZACCHEO@ec.europa.e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C9381-34EF-41D3-8696-3D13AEF91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1804</Words>
  <Characters>10325</Characters>
  <Application>Microsoft Office Word</Application>
  <DocSecurity>0</DocSecurity>
  <Lines>219</Lines>
  <Paragraphs>100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2022-09-05T10:35:00Z</dcterms:created>
  <dcterms:modified xsi:type="dcterms:W3CDTF">2022-09-05T10:35:00Z</dcterms:modified>
</cp:coreProperties>
</file>