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3B1B21" w:rsidP="00A516E1">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INTPA-B-1</w:t>
            </w:r>
          </w:p>
        </w:tc>
      </w:tr>
      <w:tr w:rsidR="00745B97" w:rsidRPr="00745B97" w:rsidTr="00EC6FF0">
        <w:trPr>
          <w:trHeight w:val="1977"/>
          <w:jc w:val="center"/>
        </w:trPr>
        <w:tc>
          <w:tcPr>
            <w:tcW w:w="4359" w:type="dxa"/>
            <w:tcBorders>
              <w:bottom w:val="nil"/>
            </w:tcBorders>
          </w:tcPr>
          <w:p w:rsidR="00745B97" w:rsidRPr="00745B97" w:rsidRDefault="009C39A3"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Chef d’unité</w:t>
            </w:r>
            <w:r w:rsidR="00E441A0">
              <w:rPr>
                <w:rFonts w:ascii="Times New Roman" w:eastAsia="Times New Roman" w:hAnsi="Times New Roman" w:cs="Times New Roman"/>
                <w:b/>
                <w:lang w:eastAsia="en-GB"/>
              </w:rPr>
              <w:t xml:space="preserve"> </w:t>
            </w:r>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3B1B21" w:rsidRPr="003B1B21" w:rsidRDefault="003B1B21" w:rsidP="003B1B21">
            <w:pPr>
              <w:rPr>
                <w:rFonts w:ascii="Times New Roman" w:hAnsi="Times New Roman" w:cs="Times New Roman"/>
                <w:b/>
              </w:rPr>
            </w:pPr>
            <w:r w:rsidRPr="003B1B21">
              <w:rPr>
                <w:rFonts w:ascii="Times New Roman" w:hAnsi="Times New Roman" w:cs="Times New Roman"/>
                <w:b/>
              </w:rPr>
              <w:t>Jorge DE LA CABALLERIA</w:t>
            </w:r>
          </w:p>
          <w:p w:rsidR="003B1B21" w:rsidRPr="003B1B21" w:rsidRDefault="00733E09" w:rsidP="003B1B21">
            <w:pPr>
              <w:rPr>
                <w:rFonts w:ascii="Times New Roman" w:hAnsi="Times New Roman" w:cs="Times New Roman"/>
                <w:b/>
              </w:rPr>
            </w:pPr>
            <w:hyperlink r:id="rId8" w:history="1">
              <w:r w:rsidR="003B1B21" w:rsidRPr="003B1B21">
                <w:rPr>
                  <w:rFonts w:ascii="Times New Roman" w:hAnsi="Times New Roman" w:cs="Times New Roman"/>
                  <w:b/>
                  <w:color w:val="0000FF"/>
                  <w:u w:val="single"/>
                </w:rPr>
                <w:t>Juan-Jorge.DE-LA-CABALLERIA@ec.europa.eu</w:t>
              </w:r>
            </w:hyperlink>
            <w:r w:rsidR="003B1B21" w:rsidRPr="003B1B21">
              <w:rPr>
                <w:rFonts w:ascii="Times New Roman" w:hAnsi="Times New Roman" w:cs="Times New Roman"/>
                <w:b/>
              </w:rPr>
              <w:t xml:space="preserve">  </w:t>
            </w:r>
          </w:p>
          <w:p w:rsidR="001B4D48" w:rsidRDefault="003B1B21" w:rsidP="003B1B21">
            <w:pPr>
              <w:rPr>
                <w:rFonts w:ascii="Times New Roman" w:hAnsi="Times New Roman" w:cs="Times New Roman"/>
                <w:b/>
              </w:rPr>
            </w:pPr>
            <w:r w:rsidRPr="00C75214">
              <w:rPr>
                <w:rFonts w:ascii="Times New Roman" w:hAnsi="Times New Roman" w:cs="Times New Roman"/>
                <w:b/>
              </w:rPr>
              <w:t>+32 229-59123</w:t>
            </w:r>
          </w:p>
          <w:p w:rsidR="00804B2F" w:rsidRPr="00381739" w:rsidRDefault="003B1B21" w:rsidP="00804B2F">
            <w:pPr>
              <w:rPr>
                <w:rFonts w:ascii="Times New Roman" w:hAnsi="Times New Roman" w:cs="Times New Roman"/>
                <w:b/>
              </w:rPr>
            </w:pPr>
            <w:r>
              <w:rPr>
                <w:rFonts w:ascii="Times New Roman" w:hAnsi="Times New Roman" w:cs="Times New Roman"/>
                <w:b/>
              </w:rPr>
              <w:t>1</w:t>
            </w:r>
          </w:p>
          <w:p w:rsidR="00381739" w:rsidRPr="00381739" w:rsidRDefault="00C75214" w:rsidP="00381739">
            <w:pPr>
              <w:rPr>
                <w:rFonts w:ascii="Times New Roman" w:eastAsia="Times New Roman" w:hAnsi="Times New Roman" w:cs="Times New Roman"/>
                <w:b/>
                <w:sz w:val="24"/>
                <w:szCs w:val="20"/>
                <w:lang w:eastAsia="en-GB"/>
              </w:rPr>
            </w:pPr>
            <w:r>
              <w:rPr>
                <w:rFonts w:ascii="Times New Roman" w:hAnsi="Times New Roman" w:cs="Times New Roman"/>
                <w:b/>
              </w:rPr>
              <w:t>4</w:t>
            </w:r>
            <w:r w:rsidR="0036190C" w:rsidRPr="0036190C">
              <w:rPr>
                <w:rFonts w:ascii="Times New Roman" w:hAnsi="Times New Roman" w:cs="Times New Roman"/>
                <w:b/>
                <w:vertAlign w:val="superscript"/>
              </w:rPr>
              <w:t>ème</w:t>
            </w:r>
            <w:r w:rsidR="0036190C">
              <w:rPr>
                <w:rFonts w:ascii="Times New Roman" w:hAnsi="Times New Roman" w:cs="Times New Roman"/>
                <w:b/>
              </w:rPr>
              <w:t xml:space="preserve"> </w:t>
            </w:r>
            <w:r w:rsidR="00381739" w:rsidRPr="00381739">
              <w:rPr>
                <w:rFonts w:ascii="Times New Roman" w:hAnsi="Times New Roman" w:cs="Times New Roman"/>
                <w:b/>
              </w:rPr>
              <w:t>trimestre 202</w:t>
            </w:r>
            <w:r w:rsidR="0036190C">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3B1B21"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745B97" w:rsidRPr="00745B97" w:rsidRDefault="00381739"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1B4D48" w:rsidP="00745B97">
            <w:pPr>
              <w:rPr>
                <w:rFonts w:ascii="Times New Roman" w:eastAsia="Times New Roman" w:hAnsi="Times New Roman" w:cs="Times New Roman"/>
                <w:sz w:val="24"/>
                <w:szCs w:val="20"/>
                <w:lang w:eastAsia="en-GB"/>
              </w:rPr>
            </w:pPr>
            <w:r w:rsidRPr="00745B97">
              <w:rPr>
                <w:rFonts w:ascii="Times New Roman" w:eastAsia="MS Minngs" w:hAnsi="Times New Roman" w:cs="Times New Roman"/>
                <w:bCs/>
                <w:lang w:val="fr-FR" w:eastAsia="en-GB"/>
              </w:rPr>
              <w:sym w:font="Wingdings 2" w:char="F0A3"/>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36190C" w:rsidRDefault="0036190C" w:rsidP="0036190C">
      <w:pPr>
        <w:spacing w:after="0" w:line="240" w:lineRule="auto"/>
        <w:rPr>
          <w:rFonts w:ascii="Times New Roman" w:eastAsia="Times New Roman" w:hAnsi="Times New Roman" w:cs="Times New Roman"/>
          <w:sz w:val="24"/>
          <w:szCs w:val="20"/>
          <w:lang w:eastAsia="en-GB"/>
        </w:rPr>
      </w:pPr>
    </w:p>
    <w:p w:rsidR="003B1B21" w:rsidRDefault="003B1B21" w:rsidP="003B1B21">
      <w:pPr>
        <w:spacing w:after="0" w:line="240" w:lineRule="auto"/>
        <w:ind w:left="426"/>
        <w:jc w:val="both"/>
        <w:rPr>
          <w:rFonts w:ascii="Times New Roman" w:eastAsia="Times New Roman" w:hAnsi="Times New Roman" w:cs="Times New Roman"/>
          <w:lang w:eastAsia="en-GB"/>
        </w:rPr>
      </w:pPr>
      <w:r w:rsidRPr="003B1B21">
        <w:rPr>
          <w:rFonts w:ascii="Times New Roman" w:eastAsia="Times New Roman" w:hAnsi="Times New Roman" w:cs="Times New Roman"/>
          <w:lang w:eastAsia="en-GB"/>
        </w:rPr>
        <w:t>La direction générale des partenariats internationaux (DG INTPA) a pour mission de contribuer au développement durable, à l’éradication de la pauvreté, à la paix et à la protection des droits de l’homme, au moyen de partenariats internationaux qui défendent et promeuvent les valeurs et les intérêts européens. La DG INTPA joue un rôle de premier plan en ce qui concerne la formulation des politiques de l’UE dans le domaine de la coopération internationale et la mise en place de partenariats avec des pays et des organisations internationales du monde entier.</w:t>
      </w:r>
    </w:p>
    <w:p w:rsidR="003B1B21" w:rsidRPr="003B1B21" w:rsidRDefault="003B1B21" w:rsidP="003B1B21">
      <w:pPr>
        <w:spacing w:after="0" w:line="240" w:lineRule="auto"/>
        <w:ind w:left="426"/>
        <w:jc w:val="both"/>
        <w:rPr>
          <w:rFonts w:ascii="Times New Roman" w:eastAsia="Times New Roman" w:hAnsi="Times New Roman" w:cs="Times New Roman"/>
          <w:lang w:eastAsia="en-GB"/>
        </w:rPr>
      </w:pPr>
    </w:p>
    <w:p w:rsidR="003B1B21" w:rsidRDefault="003B1B21" w:rsidP="003B1B21">
      <w:pPr>
        <w:spacing w:after="0" w:line="240" w:lineRule="auto"/>
        <w:ind w:left="426"/>
        <w:jc w:val="both"/>
        <w:rPr>
          <w:rFonts w:ascii="Times New Roman" w:eastAsia="Times New Roman" w:hAnsi="Times New Roman" w:cs="Times New Roman"/>
          <w:lang w:eastAsia="en-GB"/>
        </w:rPr>
      </w:pPr>
      <w:r w:rsidRPr="003B1B21">
        <w:rPr>
          <w:rFonts w:ascii="Times New Roman" w:eastAsia="Times New Roman" w:hAnsi="Times New Roman" w:cs="Times New Roman"/>
          <w:lang w:eastAsia="en-GB"/>
        </w:rPr>
        <w:t xml:space="preserve">Direction B « AMERIQUE LATINE ET DANS LES CARAIBES »; Relations AVEC TOUS LES PAYS ET TERRITORIES OUTRE </w:t>
      </w:r>
      <w:proofErr w:type="gramStart"/>
      <w:r w:rsidRPr="003B1B21">
        <w:rPr>
          <w:rFonts w:ascii="Times New Roman" w:eastAsia="Times New Roman" w:hAnsi="Times New Roman" w:cs="Times New Roman"/>
          <w:lang w:eastAsia="en-GB"/>
        </w:rPr>
        <w:t>MER»</w:t>
      </w:r>
      <w:proofErr w:type="gramEnd"/>
      <w:r w:rsidRPr="003B1B21">
        <w:rPr>
          <w:rFonts w:ascii="Times New Roman" w:eastAsia="Times New Roman" w:hAnsi="Times New Roman" w:cs="Times New Roman"/>
          <w:lang w:eastAsia="en-GB"/>
        </w:rPr>
        <w:t xml:space="preserve"> est chargée d’élaborer et de mettre en œuvre le programme de partenariats internationaux dans cette région. L’unité INTPA B.1 est chargée de la coopération de l’UE avec l’Amérique du Sud et des programmes régionaux en Amérique Latine et dans les Caraïbes. L’unité s’occupe des programmes régionaux dans la région dans les domaines du secteur privé, de la drogue et de la sécurité, ainsi que des financements mixtes et d’autres instruments financiers. Elle travaille en étroite coopération avec les délégations de l’UE et les services du siège concernés, ainsi qu’avec les partenaires chargés de la mise en œuvre. L’unité INTPA B1 compte environ 26 agents répartis dans quatre secteurs thématiques.</w:t>
      </w:r>
    </w:p>
    <w:p w:rsidR="00C75214" w:rsidRPr="003B1B21" w:rsidRDefault="00C75214" w:rsidP="003B1B21">
      <w:pPr>
        <w:spacing w:after="0" w:line="240" w:lineRule="auto"/>
        <w:ind w:left="426"/>
        <w:jc w:val="both"/>
        <w:rPr>
          <w:rFonts w:ascii="Times New Roman" w:eastAsia="Times New Roman" w:hAnsi="Times New Roman" w:cs="Times New Roman"/>
          <w:lang w:eastAsia="en-GB"/>
        </w:rPr>
      </w:pPr>
    </w:p>
    <w:p w:rsidR="003B1B21" w:rsidRPr="003B1B21" w:rsidRDefault="003B1B21" w:rsidP="003B1B21">
      <w:pPr>
        <w:spacing w:after="0" w:line="240" w:lineRule="auto"/>
        <w:ind w:left="426"/>
        <w:jc w:val="both"/>
        <w:rPr>
          <w:rFonts w:ascii="Times New Roman" w:eastAsia="Times New Roman" w:hAnsi="Times New Roman" w:cs="Times New Roman"/>
          <w:lang w:eastAsia="en-GB"/>
        </w:rPr>
      </w:pPr>
      <w:r w:rsidRPr="003B1B21">
        <w:rPr>
          <w:rFonts w:ascii="Times New Roman" w:eastAsia="Times New Roman" w:hAnsi="Times New Roman" w:cs="Times New Roman"/>
          <w:lang w:eastAsia="en-GB"/>
        </w:rPr>
        <w:t xml:space="preserve">Nous proposons une affectation intéressante de responsable de programmes « Relations extérieures » pour les programmes centralisés en Amérique Latine et dans les Caraïbes dans le domaine du commerce, du développement de secteur privé, de la reprise économique durable/verte et inclusive. </w:t>
      </w:r>
    </w:p>
    <w:p w:rsidR="003B1B21" w:rsidRPr="003B1B21" w:rsidRDefault="003B1B21" w:rsidP="003B1B21">
      <w:pPr>
        <w:spacing w:after="0" w:line="240" w:lineRule="auto"/>
        <w:ind w:left="426"/>
        <w:jc w:val="both"/>
        <w:rPr>
          <w:rFonts w:ascii="Times New Roman" w:eastAsia="Times New Roman" w:hAnsi="Times New Roman" w:cs="Times New Roman"/>
          <w:lang w:eastAsia="en-GB"/>
        </w:rPr>
      </w:pPr>
    </w:p>
    <w:p w:rsidR="003B1B21" w:rsidRPr="003B1B21" w:rsidRDefault="003B1B21" w:rsidP="003B1B21">
      <w:pPr>
        <w:spacing w:after="0" w:line="240" w:lineRule="auto"/>
        <w:ind w:left="426"/>
        <w:jc w:val="both"/>
        <w:rPr>
          <w:rFonts w:ascii="Times New Roman" w:eastAsia="Times New Roman" w:hAnsi="Times New Roman" w:cs="Times New Roman"/>
          <w:lang w:eastAsia="en-GB"/>
        </w:rPr>
      </w:pPr>
      <w:r w:rsidRPr="003B1B21">
        <w:rPr>
          <w:rFonts w:ascii="Times New Roman" w:eastAsia="Times New Roman" w:hAnsi="Times New Roman" w:cs="Times New Roman"/>
          <w:lang w:eastAsia="en-GB"/>
        </w:rPr>
        <w:t xml:space="preserve">Les principales tâches consisteraient notamment à: </w:t>
      </w:r>
    </w:p>
    <w:p w:rsidR="003B1B21" w:rsidRPr="003B1B21" w:rsidRDefault="003B1B21" w:rsidP="003B1B21">
      <w:pPr>
        <w:spacing w:after="0" w:line="240" w:lineRule="auto"/>
        <w:ind w:left="709" w:hanging="283"/>
        <w:jc w:val="both"/>
        <w:rPr>
          <w:rFonts w:ascii="Times New Roman" w:eastAsia="Times New Roman" w:hAnsi="Times New Roman" w:cs="Times New Roman"/>
          <w:lang w:eastAsia="en-GB"/>
        </w:rPr>
      </w:pPr>
      <w:r w:rsidRPr="003B1B21">
        <w:rPr>
          <w:rFonts w:ascii="Times New Roman" w:eastAsia="Times New Roman" w:hAnsi="Times New Roman" w:cs="Times New Roman"/>
          <w:lang w:eastAsia="en-GB"/>
        </w:rPr>
        <w:t>-</w:t>
      </w:r>
      <w:r w:rsidRPr="003B1B21">
        <w:rPr>
          <w:rFonts w:ascii="Times New Roman" w:eastAsia="Times New Roman" w:hAnsi="Times New Roman" w:cs="Times New Roman"/>
          <w:lang w:eastAsia="en-GB"/>
        </w:rPr>
        <w:tab/>
        <w:t>Gestion des programmes régionaux de l’UE dans le domaine du commerce, du développement du secteur privé, de la reprise économique durable/verte et inclusive;</w:t>
      </w:r>
    </w:p>
    <w:p w:rsidR="003B1B21" w:rsidRPr="003B1B21" w:rsidRDefault="003B1B21" w:rsidP="003B1B21">
      <w:pPr>
        <w:spacing w:after="0" w:line="240" w:lineRule="auto"/>
        <w:ind w:left="709" w:hanging="283"/>
        <w:jc w:val="both"/>
        <w:rPr>
          <w:rFonts w:ascii="Times New Roman" w:eastAsia="Times New Roman" w:hAnsi="Times New Roman" w:cs="Times New Roman"/>
          <w:lang w:eastAsia="en-GB"/>
        </w:rPr>
      </w:pPr>
      <w:r w:rsidRPr="003B1B21">
        <w:rPr>
          <w:rFonts w:ascii="Times New Roman" w:eastAsia="Times New Roman" w:hAnsi="Times New Roman" w:cs="Times New Roman"/>
          <w:lang w:eastAsia="en-GB"/>
        </w:rPr>
        <w:lastRenderedPageBreak/>
        <w:t>-</w:t>
      </w:r>
      <w:r w:rsidRPr="003B1B21">
        <w:rPr>
          <w:rFonts w:ascii="Times New Roman" w:eastAsia="Times New Roman" w:hAnsi="Times New Roman" w:cs="Times New Roman"/>
          <w:lang w:eastAsia="en-GB"/>
        </w:rPr>
        <w:tab/>
        <w:t>Les relations, la coordination et la gestion des parties prenantes, y compris la coordination avec les acteurs concernés tant à l’intérieur qu’à l’extérieur des institutions (unités thématiques de l’INTPA, SEAE, FPI, DG de la Commission, États membres, institutions financières, gouvernements et organisations partenaires);</w:t>
      </w:r>
    </w:p>
    <w:p w:rsidR="003B1B21" w:rsidRPr="003B1B21" w:rsidRDefault="003B1B21" w:rsidP="003B1B21">
      <w:pPr>
        <w:spacing w:after="0" w:line="240" w:lineRule="auto"/>
        <w:ind w:left="709" w:hanging="283"/>
        <w:jc w:val="both"/>
        <w:rPr>
          <w:rFonts w:ascii="Times New Roman" w:eastAsia="Times New Roman" w:hAnsi="Times New Roman" w:cs="Times New Roman"/>
          <w:lang w:eastAsia="en-GB"/>
        </w:rPr>
      </w:pPr>
      <w:r w:rsidRPr="003B1B21">
        <w:rPr>
          <w:rFonts w:ascii="Times New Roman" w:eastAsia="Times New Roman" w:hAnsi="Times New Roman" w:cs="Times New Roman"/>
          <w:lang w:eastAsia="en-GB"/>
        </w:rPr>
        <w:t>-</w:t>
      </w:r>
      <w:r w:rsidRPr="003B1B21">
        <w:rPr>
          <w:rFonts w:ascii="Times New Roman" w:eastAsia="Times New Roman" w:hAnsi="Times New Roman" w:cs="Times New Roman"/>
          <w:lang w:eastAsia="en-GB"/>
        </w:rPr>
        <w:tab/>
        <w:t xml:space="preserve">Contribution aux dialogues sectoriels sur l’économie verte, le secteur privé, le commerce et les chaînes de valeur durables en Amérique latine et dans les Caraïbes </w:t>
      </w:r>
    </w:p>
    <w:p w:rsidR="003B1B21" w:rsidRPr="003B1B21" w:rsidRDefault="003B1B21" w:rsidP="003B1B21">
      <w:pPr>
        <w:spacing w:after="0" w:line="240" w:lineRule="auto"/>
        <w:ind w:left="709" w:hanging="283"/>
        <w:jc w:val="both"/>
        <w:rPr>
          <w:rFonts w:ascii="Times New Roman" w:eastAsia="Times New Roman" w:hAnsi="Times New Roman" w:cs="Times New Roman"/>
          <w:lang w:eastAsia="en-GB"/>
        </w:rPr>
      </w:pPr>
      <w:r w:rsidRPr="003B1B21">
        <w:rPr>
          <w:rFonts w:ascii="Times New Roman" w:eastAsia="Times New Roman" w:hAnsi="Times New Roman" w:cs="Times New Roman"/>
          <w:lang w:eastAsia="en-GB"/>
        </w:rPr>
        <w:t>-</w:t>
      </w:r>
      <w:r w:rsidRPr="003B1B21">
        <w:rPr>
          <w:rFonts w:ascii="Times New Roman" w:eastAsia="Times New Roman" w:hAnsi="Times New Roman" w:cs="Times New Roman"/>
          <w:lang w:eastAsia="en-GB"/>
        </w:rPr>
        <w:tab/>
        <w:t>Définir, analyser et préparer des propositions de programmes, de projets, d’actions d’appui sectoriel, etc., en étroite coopération avec les délégations de la région d’Amérique latine et des Caraïbes.</w:t>
      </w:r>
    </w:p>
    <w:p w:rsidR="003B1B21" w:rsidRPr="003B1B21" w:rsidRDefault="003B1B21" w:rsidP="003B1B21">
      <w:pPr>
        <w:spacing w:after="0" w:line="240" w:lineRule="auto"/>
        <w:ind w:left="709" w:hanging="283"/>
        <w:jc w:val="both"/>
        <w:rPr>
          <w:rFonts w:ascii="Times New Roman" w:eastAsia="Times New Roman" w:hAnsi="Times New Roman" w:cs="Times New Roman"/>
          <w:lang w:eastAsia="en-GB"/>
        </w:rPr>
      </w:pPr>
      <w:r w:rsidRPr="003B1B21">
        <w:rPr>
          <w:rFonts w:ascii="Times New Roman" w:eastAsia="Times New Roman" w:hAnsi="Times New Roman" w:cs="Times New Roman"/>
          <w:lang w:eastAsia="en-GB"/>
        </w:rPr>
        <w:t>-</w:t>
      </w:r>
      <w:r w:rsidRPr="003B1B21">
        <w:rPr>
          <w:rFonts w:ascii="Times New Roman" w:eastAsia="Times New Roman" w:hAnsi="Times New Roman" w:cs="Times New Roman"/>
          <w:lang w:eastAsia="en-GB"/>
        </w:rPr>
        <w:tab/>
        <w:t>Suivre la mise en œuvre des programmes/projets centralisés en tenant compte des conditions énoncées dans les objectifs fixés dans le programme/projet approuvé.</w:t>
      </w:r>
    </w:p>
    <w:p w:rsidR="003B1B21" w:rsidRPr="003B1B21" w:rsidRDefault="003B1B21" w:rsidP="003B1B21">
      <w:pPr>
        <w:spacing w:after="0" w:line="240" w:lineRule="auto"/>
        <w:ind w:left="709" w:hanging="283"/>
        <w:jc w:val="both"/>
        <w:rPr>
          <w:rFonts w:ascii="Times New Roman" w:eastAsia="Times New Roman" w:hAnsi="Times New Roman" w:cs="Times New Roman"/>
          <w:lang w:eastAsia="en-GB"/>
        </w:rPr>
      </w:pPr>
      <w:r w:rsidRPr="003B1B21">
        <w:rPr>
          <w:rFonts w:ascii="Times New Roman" w:eastAsia="Times New Roman" w:hAnsi="Times New Roman" w:cs="Times New Roman"/>
          <w:lang w:eastAsia="en-GB"/>
        </w:rPr>
        <w:t>-</w:t>
      </w:r>
      <w:r w:rsidRPr="003B1B21">
        <w:rPr>
          <w:rFonts w:ascii="Times New Roman" w:eastAsia="Times New Roman" w:hAnsi="Times New Roman" w:cs="Times New Roman"/>
          <w:lang w:eastAsia="en-GB"/>
        </w:rPr>
        <w:tab/>
        <w:t>Apporter une assistance lors de toutes les étapes de la procédure de passation des marchés (définition du cahier des charges, lancement des appels d’offres, etc.).</w:t>
      </w:r>
    </w:p>
    <w:p w:rsidR="003B1B21" w:rsidRPr="003B1B21" w:rsidRDefault="003B1B21" w:rsidP="003B1B21">
      <w:pPr>
        <w:spacing w:after="0" w:line="240" w:lineRule="auto"/>
        <w:ind w:left="709" w:hanging="283"/>
        <w:jc w:val="both"/>
        <w:rPr>
          <w:rFonts w:ascii="Times New Roman" w:eastAsia="Times New Roman" w:hAnsi="Times New Roman" w:cs="Times New Roman"/>
          <w:lang w:eastAsia="en-GB"/>
        </w:rPr>
      </w:pPr>
      <w:r w:rsidRPr="003B1B21">
        <w:rPr>
          <w:rFonts w:ascii="Times New Roman" w:eastAsia="Times New Roman" w:hAnsi="Times New Roman" w:cs="Times New Roman"/>
          <w:lang w:eastAsia="en-GB"/>
        </w:rPr>
        <w:t>-</w:t>
      </w:r>
      <w:r w:rsidRPr="003B1B21">
        <w:rPr>
          <w:rFonts w:ascii="Times New Roman" w:eastAsia="Times New Roman" w:hAnsi="Times New Roman" w:cs="Times New Roman"/>
          <w:lang w:eastAsia="en-GB"/>
        </w:rPr>
        <w:tab/>
        <w:t>Assister aux réunions de gestion et de suivi des projets en cours, rédiger des rapports sur l’état d’avancement des projets et, le cas échéant, proposer des mesures appropriées.</w:t>
      </w:r>
    </w:p>
    <w:p w:rsidR="002F53FB" w:rsidRDefault="002F53FB" w:rsidP="008A02AF">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745B97" w:rsidRPr="004D1C94" w:rsidRDefault="00745B97" w:rsidP="00E12EF4">
      <w:pPr>
        <w:tabs>
          <w:tab w:val="left" w:pos="993"/>
        </w:tabs>
        <w:spacing w:after="0" w:line="240" w:lineRule="auto"/>
        <w:ind w:left="851" w:right="60" w:hanging="142"/>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007F276B">
        <w:rPr>
          <w:rFonts w:ascii="Times New Roman" w:eastAsia="Times New Roman" w:hAnsi="Times New Roman" w:cs="Times New Roman"/>
          <w:lang w:eastAsia="en-GB"/>
        </w:rPr>
        <w:t> </w:t>
      </w:r>
      <w:r w:rsidR="007F276B" w:rsidRPr="00E12EF4">
        <w:rPr>
          <w:rFonts w:ascii="Times New Roman" w:eastAsia="Times New Roman" w:hAnsi="Times New Roman" w:cs="Times New Roman"/>
          <w:lang w:eastAsia="en-GB"/>
        </w:rPr>
        <w:t>:</w:t>
      </w:r>
      <w:r w:rsidR="001B4D48" w:rsidRPr="001B4D48">
        <w:t xml:space="preserve"> </w:t>
      </w:r>
      <w:r w:rsidR="003B1B21" w:rsidRPr="003B1B21">
        <w:rPr>
          <w:rFonts w:ascii="Times New Roman" w:eastAsia="Times New Roman" w:hAnsi="Times New Roman" w:cs="Times New Roman"/>
          <w:lang w:eastAsia="en-GB"/>
        </w:rPr>
        <w:t>économie, droit ou relations internationales</w:t>
      </w:r>
      <w:r w:rsidR="001B4D48">
        <w:rPr>
          <w:rFonts w:ascii="Times New Roman" w:eastAsia="Times New Roman" w:hAnsi="Times New Roman" w:cs="Times New Roman"/>
          <w:lang w:eastAsia="en-GB"/>
        </w:rPr>
        <w:t>.</w:t>
      </w:r>
    </w:p>
    <w:p w:rsidR="001F34B4" w:rsidRPr="00745B97" w:rsidRDefault="001F34B4"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3B1B21" w:rsidRPr="003B1B21" w:rsidRDefault="003B1B21" w:rsidP="003B1B21">
      <w:pPr>
        <w:tabs>
          <w:tab w:val="left" w:pos="709"/>
        </w:tabs>
        <w:spacing w:after="0" w:line="240" w:lineRule="auto"/>
        <w:ind w:left="709" w:right="60"/>
        <w:jc w:val="both"/>
        <w:rPr>
          <w:rFonts w:ascii="Times New Roman" w:eastAsia="Times New Roman" w:hAnsi="Times New Roman" w:cs="Times New Roman"/>
          <w:lang w:eastAsia="en-GB"/>
        </w:rPr>
      </w:pPr>
      <w:r w:rsidRPr="003B1B21">
        <w:rPr>
          <w:rFonts w:ascii="Times New Roman" w:eastAsia="Times New Roman" w:hAnsi="Times New Roman" w:cs="Times New Roman"/>
          <w:lang w:eastAsia="en-GB"/>
        </w:rPr>
        <w:t xml:space="preserve">Essentiel: expérience professionnelle: au moins 3 ans </w:t>
      </w:r>
    </w:p>
    <w:p w:rsidR="003B1B21" w:rsidRPr="003B1B21" w:rsidRDefault="003B1B21" w:rsidP="003B1B21">
      <w:pPr>
        <w:tabs>
          <w:tab w:val="left" w:pos="709"/>
        </w:tabs>
        <w:spacing w:after="0" w:line="240" w:lineRule="auto"/>
        <w:ind w:left="709" w:right="60"/>
        <w:jc w:val="both"/>
        <w:rPr>
          <w:rFonts w:ascii="Times New Roman" w:eastAsia="Times New Roman" w:hAnsi="Times New Roman" w:cs="Times New Roman"/>
          <w:lang w:eastAsia="en-GB"/>
        </w:rPr>
      </w:pPr>
      <w:r w:rsidRPr="003B1B21">
        <w:rPr>
          <w:rFonts w:ascii="Times New Roman" w:eastAsia="Times New Roman" w:hAnsi="Times New Roman" w:cs="Times New Roman"/>
          <w:lang w:eastAsia="en-GB"/>
        </w:rPr>
        <w:t xml:space="preserve">Souhaitable: </w:t>
      </w:r>
    </w:p>
    <w:p w:rsidR="003B1B21" w:rsidRPr="003B1B21" w:rsidRDefault="003B1B21" w:rsidP="003B1B21">
      <w:pPr>
        <w:tabs>
          <w:tab w:val="left" w:pos="709"/>
        </w:tabs>
        <w:spacing w:after="0" w:line="240" w:lineRule="auto"/>
        <w:ind w:left="709" w:right="60"/>
        <w:jc w:val="both"/>
        <w:rPr>
          <w:rFonts w:ascii="Times New Roman" w:eastAsia="Times New Roman" w:hAnsi="Times New Roman" w:cs="Times New Roman"/>
          <w:lang w:eastAsia="en-GB"/>
        </w:rPr>
      </w:pPr>
      <w:r w:rsidRPr="003B1B21">
        <w:rPr>
          <w:rFonts w:ascii="Times New Roman" w:eastAsia="Times New Roman" w:hAnsi="Times New Roman" w:cs="Times New Roman"/>
          <w:lang w:eastAsia="en-GB"/>
        </w:rPr>
        <w:t xml:space="preserve">Expérience dans les pays Amérique Latine et des Caraïbes: souhaitable. </w:t>
      </w:r>
    </w:p>
    <w:p w:rsidR="003B1B21" w:rsidRPr="003B1B21" w:rsidRDefault="003B1B21" w:rsidP="003B1B21">
      <w:pPr>
        <w:tabs>
          <w:tab w:val="left" w:pos="709"/>
        </w:tabs>
        <w:spacing w:after="0" w:line="240" w:lineRule="auto"/>
        <w:ind w:left="709" w:right="60"/>
        <w:jc w:val="both"/>
        <w:rPr>
          <w:rFonts w:ascii="Times New Roman" w:eastAsia="Times New Roman" w:hAnsi="Times New Roman" w:cs="Times New Roman"/>
          <w:lang w:eastAsia="en-GB"/>
        </w:rPr>
      </w:pPr>
      <w:r w:rsidRPr="003B1B21">
        <w:rPr>
          <w:rFonts w:ascii="Times New Roman" w:eastAsia="Times New Roman" w:hAnsi="Times New Roman" w:cs="Times New Roman"/>
          <w:lang w:eastAsia="en-GB"/>
        </w:rPr>
        <w:t xml:space="preserve">Expérience sur le terrain ou dans les délégations: souhaitable. </w:t>
      </w:r>
    </w:p>
    <w:p w:rsidR="003B1B21" w:rsidRPr="003B1B21" w:rsidRDefault="003B1B21" w:rsidP="003B1B21">
      <w:pPr>
        <w:tabs>
          <w:tab w:val="left" w:pos="709"/>
        </w:tabs>
        <w:spacing w:after="0" w:line="240" w:lineRule="auto"/>
        <w:ind w:left="709" w:right="60"/>
        <w:jc w:val="both"/>
        <w:rPr>
          <w:rFonts w:ascii="Times New Roman" w:eastAsia="Times New Roman" w:hAnsi="Times New Roman" w:cs="Times New Roman"/>
          <w:lang w:eastAsia="en-GB"/>
        </w:rPr>
      </w:pPr>
      <w:r w:rsidRPr="003B1B21">
        <w:rPr>
          <w:rFonts w:ascii="Times New Roman" w:eastAsia="Times New Roman" w:hAnsi="Times New Roman" w:cs="Times New Roman"/>
          <w:lang w:eastAsia="en-GB"/>
        </w:rPr>
        <w:t xml:space="preserve">Expérience diversifiée (secteur public/privé, UE/pays en développement: souhaitable. </w:t>
      </w:r>
    </w:p>
    <w:p w:rsidR="003B1B21" w:rsidRPr="003B1B21" w:rsidRDefault="003B1B21" w:rsidP="003B1B21">
      <w:pPr>
        <w:tabs>
          <w:tab w:val="left" w:pos="709"/>
        </w:tabs>
        <w:spacing w:after="0" w:line="240" w:lineRule="auto"/>
        <w:ind w:left="709" w:right="60"/>
        <w:jc w:val="both"/>
        <w:rPr>
          <w:rFonts w:ascii="Times New Roman" w:eastAsia="Times New Roman" w:hAnsi="Times New Roman" w:cs="Times New Roman"/>
          <w:lang w:eastAsia="en-GB"/>
        </w:rPr>
      </w:pPr>
      <w:r w:rsidRPr="003B1B21">
        <w:rPr>
          <w:rFonts w:ascii="Times New Roman" w:eastAsia="Times New Roman" w:hAnsi="Times New Roman" w:cs="Times New Roman"/>
          <w:lang w:eastAsia="en-GB"/>
        </w:rPr>
        <w:t xml:space="preserve">Domaines: économie, sciences politiques/sociales, administration/gestion des entreprises. </w:t>
      </w:r>
    </w:p>
    <w:p w:rsidR="001F34B4" w:rsidRPr="008A02AF" w:rsidRDefault="003B1B21" w:rsidP="003B1B21">
      <w:pPr>
        <w:tabs>
          <w:tab w:val="left" w:pos="709"/>
        </w:tabs>
        <w:spacing w:after="0" w:line="240" w:lineRule="auto"/>
        <w:ind w:left="709" w:right="60"/>
        <w:jc w:val="both"/>
        <w:rPr>
          <w:rFonts w:ascii="Times New Roman" w:eastAsia="Times New Roman" w:hAnsi="Times New Roman" w:cs="Times New Roman"/>
          <w:lang w:eastAsia="en-GB"/>
        </w:rPr>
      </w:pPr>
      <w:r w:rsidRPr="003B1B21">
        <w:rPr>
          <w:rFonts w:ascii="Times New Roman" w:eastAsia="Times New Roman" w:hAnsi="Times New Roman" w:cs="Times New Roman"/>
          <w:lang w:eastAsia="en-GB"/>
        </w:rPr>
        <w:t>Secteurs économiques: activités de conseil pour les entreprises à but non lucratif en particulier, la société civile, les ONG, les entreprises du secteur privé/public, les établissements de formation, les universités, les municipalités, les agences de coopération.</w:t>
      </w:r>
    </w:p>
    <w:p w:rsidR="001F34B4" w:rsidRPr="001F34B4" w:rsidRDefault="001F34B4" w:rsidP="001F34B4">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lastRenderedPageBreak/>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3B1B21" w:rsidRPr="003B1B21" w:rsidRDefault="003B1B21" w:rsidP="003B1B21">
      <w:pPr>
        <w:spacing w:after="0" w:line="240" w:lineRule="auto"/>
        <w:ind w:left="709"/>
        <w:jc w:val="both"/>
        <w:rPr>
          <w:rFonts w:ascii="Times New Roman" w:eastAsia="Times New Roman" w:hAnsi="Times New Roman" w:cs="Times New Roman"/>
          <w:lang w:eastAsia="en-GB"/>
        </w:rPr>
      </w:pPr>
      <w:r w:rsidRPr="003B1B21">
        <w:rPr>
          <w:rFonts w:ascii="Times New Roman" w:eastAsia="Times New Roman" w:hAnsi="Times New Roman" w:cs="Times New Roman"/>
          <w:lang w:eastAsia="en-GB"/>
        </w:rPr>
        <w:t>Anglais</w:t>
      </w:r>
      <w:r w:rsidRPr="003B1B21">
        <w:rPr>
          <w:rFonts w:ascii="Times New Roman" w:eastAsia="Times New Roman" w:hAnsi="Times New Roman" w:cs="Times New Roman"/>
          <w:lang w:eastAsia="en-GB"/>
        </w:rPr>
        <w:tab/>
      </w:r>
      <w:r w:rsidRPr="003B1B21">
        <w:rPr>
          <w:rFonts w:ascii="Times New Roman" w:eastAsia="Times New Roman" w:hAnsi="Times New Roman" w:cs="Times New Roman"/>
          <w:lang w:eastAsia="en-GB"/>
        </w:rPr>
        <w:tab/>
        <w:t xml:space="preserve">            C1</w:t>
      </w:r>
      <w:r w:rsidRPr="003B1B21">
        <w:rPr>
          <w:rFonts w:ascii="Times New Roman" w:eastAsia="Times New Roman" w:hAnsi="Times New Roman" w:cs="Times New Roman"/>
          <w:lang w:eastAsia="en-GB"/>
        </w:rPr>
        <w:tab/>
      </w:r>
      <w:proofErr w:type="spellStart"/>
      <w:r w:rsidRPr="003B1B21">
        <w:rPr>
          <w:rFonts w:ascii="Times New Roman" w:eastAsia="Times New Roman" w:hAnsi="Times New Roman" w:cs="Times New Roman"/>
          <w:lang w:eastAsia="en-GB"/>
        </w:rPr>
        <w:t>C1</w:t>
      </w:r>
      <w:proofErr w:type="spellEnd"/>
      <w:r w:rsidRPr="003B1B21">
        <w:rPr>
          <w:rFonts w:ascii="Times New Roman" w:eastAsia="Times New Roman" w:hAnsi="Times New Roman" w:cs="Times New Roman"/>
          <w:lang w:eastAsia="en-GB"/>
        </w:rPr>
        <w:tab/>
      </w:r>
      <w:proofErr w:type="spellStart"/>
      <w:r w:rsidRPr="003B1B21">
        <w:rPr>
          <w:rFonts w:ascii="Times New Roman" w:eastAsia="Times New Roman" w:hAnsi="Times New Roman" w:cs="Times New Roman"/>
          <w:lang w:eastAsia="en-GB"/>
        </w:rPr>
        <w:t>C1</w:t>
      </w:r>
      <w:proofErr w:type="spellEnd"/>
      <w:r w:rsidRPr="003B1B21">
        <w:rPr>
          <w:rFonts w:ascii="Times New Roman" w:eastAsia="Times New Roman" w:hAnsi="Times New Roman" w:cs="Times New Roman"/>
          <w:lang w:eastAsia="en-GB"/>
        </w:rPr>
        <w:tab/>
      </w:r>
      <w:proofErr w:type="spellStart"/>
      <w:r w:rsidRPr="003B1B21">
        <w:rPr>
          <w:rFonts w:ascii="Times New Roman" w:eastAsia="Times New Roman" w:hAnsi="Times New Roman" w:cs="Times New Roman"/>
          <w:lang w:eastAsia="en-GB"/>
        </w:rPr>
        <w:t>C1</w:t>
      </w:r>
      <w:proofErr w:type="spellEnd"/>
      <w:r w:rsidRPr="003B1B21">
        <w:rPr>
          <w:rFonts w:ascii="Times New Roman" w:eastAsia="Times New Roman" w:hAnsi="Times New Roman" w:cs="Times New Roman"/>
          <w:lang w:eastAsia="en-GB"/>
        </w:rPr>
        <w:tab/>
      </w:r>
      <w:proofErr w:type="spellStart"/>
      <w:r w:rsidRPr="003B1B21">
        <w:rPr>
          <w:rFonts w:ascii="Times New Roman" w:eastAsia="Times New Roman" w:hAnsi="Times New Roman" w:cs="Times New Roman"/>
          <w:lang w:eastAsia="en-GB"/>
        </w:rPr>
        <w:t>C1</w:t>
      </w:r>
      <w:proofErr w:type="spellEnd"/>
    </w:p>
    <w:p w:rsidR="008A02AF" w:rsidRPr="00010C4F" w:rsidRDefault="003B1B21" w:rsidP="003B1B21">
      <w:pPr>
        <w:spacing w:after="0" w:line="240" w:lineRule="auto"/>
        <w:ind w:left="709"/>
        <w:jc w:val="both"/>
        <w:rPr>
          <w:rFonts w:ascii="Times New Roman" w:eastAsia="Times New Roman" w:hAnsi="Times New Roman" w:cs="Times New Roman"/>
          <w:lang w:eastAsia="en-GB"/>
        </w:rPr>
      </w:pPr>
      <w:r w:rsidRPr="003B1B21">
        <w:rPr>
          <w:rFonts w:ascii="Times New Roman" w:eastAsia="Times New Roman" w:hAnsi="Times New Roman" w:cs="Times New Roman"/>
          <w:lang w:eastAsia="en-GB"/>
        </w:rPr>
        <w:t>Espagnol</w:t>
      </w:r>
      <w:r w:rsidRPr="003B1B21">
        <w:rPr>
          <w:rFonts w:ascii="Times New Roman" w:eastAsia="Times New Roman" w:hAnsi="Times New Roman" w:cs="Times New Roman"/>
          <w:lang w:eastAsia="en-GB"/>
        </w:rPr>
        <w:tab/>
      </w:r>
      <w:r w:rsidRPr="003B1B21">
        <w:rPr>
          <w:rFonts w:ascii="Times New Roman" w:eastAsia="Times New Roman" w:hAnsi="Times New Roman" w:cs="Times New Roman"/>
          <w:lang w:eastAsia="en-GB"/>
        </w:rPr>
        <w:tab/>
        <w:t>B2</w:t>
      </w:r>
      <w:r w:rsidRPr="003B1B21">
        <w:rPr>
          <w:rFonts w:ascii="Times New Roman" w:eastAsia="Times New Roman" w:hAnsi="Times New Roman" w:cs="Times New Roman"/>
          <w:lang w:eastAsia="en-GB"/>
        </w:rPr>
        <w:tab/>
      </w:r>
      <w:proofErr w:type="spellStart"/>
      <w:r w:rsidRPr="003B1B21">
        <w:rPr>
          <w:rFonts w:ascii="Times New Roman" w:eastAsia="Times New Roman" w:hAnsi="Times New Roman" w:cs="Times New Roman"/>
          <w:lang w:eastAsia="en-GB"/>
        </w:rPr>
        <w:t>B2</w:t>
      </w:r>
      <w:proofErr w:type="spellEnd"/>
      <w:r w:rsidRPr="003B1B21">
        <w:rPr>
          <w:rFonts w:ascii="Times New Roman" w:eastAsia="Times New Roman" w:hAnsi="Times New Roman" w:cs="Times New Roman"/>
          <w:lang w:eastAsia="en-GB"/>
        </w:rPr>
        <w:tab/>
      </w:r>
      <w:proofErr w:type="spellStart"/>
      <w:r w:rsidRPr="003B1B21">
        <w:rPr>
          <w:rFonts w:ascii="Times New Roman" w:eastAsia="Times New Roman" w:hAnsi="Times New Roman" w:cs="Times New Roman"/>
          <w:lang w:eastAsia="en-GB"/>
        </w:rPr>
        <w:t>B2</w:t>
      </w:r>
      <w:proofErr w:type="spellEnd"/>
      <w:r w:rsidRPr="003B1B21">
        <w:rPr>
          <w:rFonts w:ascii="Times New Roman" w:eastAsia="Times New Roman" w:hAnsi="Times New Roman" w:cs="Times New Roman"/>
          <w:lang w:eastAsia="en-GB"/>
        </w:rPr>
        <w:tab/>
      </w:r>
      <w:proofErr w:type="spellStart"/>
      <w:r w:rsidRPr="003B1B21">
        <w:rPr>
          <w:rFonts w:ascii="Times New Roman" w:eastAsia="Times New Roman" w:hAnsi="Times New Roman" w:cs="Times New Roman"/>
          <w:lang w:eastAsia="en-GB"/>
        </w:rPr>
        <w:t>B2</w:t>
      </w:r>
      <w:proofErr w:type="spellEnd"/>
      <w:r w:rsidRPr="003B1B21">
        <w:rPr>
          <w:rFonts w:ascii="Times New Roman" w:eastAsia="Times New Roman" w:hAnsi="Times New Roman" w:cs="Times New Roman"/>
          <w:lang w:eastAsia="en-GB"/>
        </w:rPr>
        <w:tab/>
      </w:r>
      <w:proofErr w:type="spellStart"/>
      <w:r w:rsidRPr="003B1B21">
        <w:rPr>
          <w:rFonts w:ascii="Times New Roman" w:eastAsia="Times New Roman" w:hAnsi="Times New Roman" w:cs="Times New Roman"/>
          <w:lang w:eastAsia="en-GB"/>
        </w:rPr>
        <w:t>B2</w:t>
      </w:r>
      <w:proofErr w:type="spellEnd"/>
    </w:p>
    <w:p w:rsidR="008A02AF" w:rsidRPr="00745B97" w:rsidRDefault="008A02AF" w:rsidP="008A02AF">
      <w:pPr>
        <w:spacing w:after="0" w:line="240" w:lineRule="auto"/>
        <w:ind w:left="709"/>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2D5733" w:rsidRDefault="002D5733"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33E09" w:rsidRPr="00733E09" w:rsidRDefault="00733E09" w:rsidP="00733E09">
      <w:pPr>
        <w:spacing w:after="0" w:line="240" w:lineRule="auto"/>
        <w:ind w:left="426" w:right="175"/>
        <w:jc w:val="both"/>
        <w:rPr>
          <w:rFonts w:ascii="Times New Roman" w:eastAsia="Times New Roman" w:hAnsi="Times New Roman" w:cs="Times New Roman"/>
          <w:lang w:eastAsia="en-GB"/>
        </w:rPr>
      </w:pPr>
      <w:r w:rsidRPr="00733E09">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HR.B.1. Ce traitement est basé sur la décision de la Commission relative aux END et est soumis au Règlement (UE) No 2018/1725.</w:t>
      </w:r>
    </w:p>
    <w:p w:rsidR="00733E09" w:rsidRPr="00733E09" w:rsidRDefault="00733E09" w:rsidP="00733E09">
      <w:pPr>
        <w:spacing w:after="0" w:line="240" w:lineRule="auto"/>
        <w:ind w:left="426" w:right="175"/>
        <w:jc w:val="both"/>
        <w:rPr>
          <w:rFonts w:ascii="Times New Roman" w:eastAsia="Times New Roman" w:hAnsi="Times New Roman" w:cs="Times New Roman"/>
          <w:lang w:eastAsia="en-GB"/>
        </w:rPr>
      </w:pPr>
      <w:r w:rsidRPr="00733E09">
        <w:rPr>
          <w:rFonts w:ascii="Times New Roman" w:eastAsia="Times New Roman" w:hAnsi="Times New Roman" w:cs="Times New Roman"/>
          <w:lang w:eastAsia="en-GB"/>
        </w:rPr>
        <w:t xml:space="preserve">Les données des END seront conservées pendant 7 ans à compter de la fin du détachement (2 ans pour les END dont la candidature n'a pas été retenue). </w:t>
      </w:r>
    </w:p>
    <w:p w:rsidR="00733E09" w:rsidRPr="00733E09" w:rsidRDefault="00733E09" w:rsidP="00733E09">
      <w:pPr>
        <w:spacing w:after="0" w:line="240" w:lineRule="auto"/>
        <w:ind w:left="426" w:right="175"/>
        <w:jc w:val="both"/>
        <w:rPr>
          <w:rFonts w:ascii="Times New Roman" w:eastAsia="Times New Roman" w:hAnsi="Times New Roman" w:cs="Times New Roman"/>
          <w:lang w:eastAsia="en-GB"/>
        </w:rPr>
      </w:pPr>
      <w:r w:rsidRPr="00733E09">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33E09" w:rsidRPr="00733E09" w:rsidRDefault="00733E09" w:rsidP="00733E09">
      <w:pPr>
        <w:spacing w:after="0" w:line="240" w:lineRule="auto"/>
        <w:ind w:left="426" w:right="175"/>
        <w:jc w:val="both"/>
        <w:rPr>
          <w:rFonts w:ascii="Times New Roman" w:eastAsia="Times New Roman" w:hAnsi="Times New Roman" w:cs="Times New Roman"/>
          <w:lang w:eastAsia="en-GB"/>
        </w:rPr>
      </w:pPr>
      <w:r w:rsidRPr="00733E09">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33E09" w:rsidRPr="00733E09" w:rsidRDefault="00733E09" w:rsidP="00733E09">
      <w:pPr>
        <w:spacing w:after="0" w:line="240" w:lineRule="auto"/>
        <w:ind w:left="426" w:right="175"/>
        <w:jc w:val="both"/>
        <w:rPr>
          <w:rFonts w:ascii="Times New Roman" w:eastAsia="Times New Roman" w:hAnsi="Times New Roman" w:cs="Times New Roman"/>
          <w:lang w:eastAsia="en-GB"/>
        </w:rPr>
      </w:pPr>
    </w:p>
    <w:p w:rsidR="00733E09" w:rsidRPr="00733E09" w:rsidRDefault="00733E09" w:rsidP="00733E09">
      <w:pPr>
        <w:spacing w:after="0" w:line="240" w:lineRule="auto"/>
        <w:ind w:left="426" w:right="175"/>
        <w:jc w:val="both"/>
        <w:rPr>
          <w:rFonts w:ascii="Times New Roman" w:eastAsia="Times New Roman" w:hAnsi="Times New Roman" w:cs="Times New Roman"/>
          <w:b/>
          <w:u w:val="single"/>
          <w:lang w:eastAsia="en-GB"/>
        </w:rPr>
      </w:pPr>
      <w:r w:rsidRPr="00733E09">
        <w:rPr>
          <w:rFonts w:ascii="Times New Roman" w:eastAsia="Times New Roman" w:hAnsi="Times New Roman" w:cs="Times New Roman"/>
          <w:b/>
          <w:u w:val="single"/>
          <w:lang w:eastAsia="en-GB"/>
        </w:rPr>
        <w:t>Informations de contact</w:t>
      </w:r>
    </w:p>
    <w:p w:rsidR="00733E09" w:rsidRPr="00733E09" w:rsidRDefault="00733E09" w:rsidP="00733E09">
      <w:pPr>
        <w:spacing w:after="0" w:line="240" w:lineRule="auto"/>
        <w:ind w:left="426" w:right="175"/>
        <w:jc w:val="both"/>
        <w:rPr>
          <w:rFonts w:ascii="Times New Roman" w:eastAsia="Times New Roman" w:hAnsi="Times New Roman" w:cs="Times New Roman"/>
          <w:b/>
          <w:u w:val="single"/>
          <w:lang w:eastAsia="en-GB"/>
        </w:rPr>
      </w:pPr>
    </w:p>
    <w:p w:rsidR="00733E09" w:rsidRPr="00733E09" w:rsidRDefault="00733E09" w:rsidP="00733E09">
      <w:pPr>
        <w:tabs>
          <w:tab w:val="left" w:pos="193"/>
        </w:tabs>
        <w:spacing w:after="0" w:line="240" w:lineRule="auto"/>
        <w:ind w:left="426" w:right="175"/>
        <w:jc w:val="both"/>
        <w:rPr>
          <w:rFonts w:ascii="Times New Roman" w:eastAsia="Times New Roman" w:hAnsi="Times New Roman" w:cs="Times New Roman"/>
          <w:lang w:eastAsia="en-GB"/>
        </w:rPr>
      </w:pPr>
      <w:r w:rsidRPr="00733E09">
        <w:rPr>
          <w:rFonts w:ascii="Times New Roman" w:eastAsia="Times New Roman" w:hAnsi="Times New Roman" w:cs="Times New Roman"/>
          <w:lang w:eastAsia="en-GB"/>
        </w:rPr>
        <w:t>-</w:t>
      </w:r>
      <w:r w:rsidRPr="00733E09">
        <w:rPr>
          <w:rFonts w:ascii="Times New Roman" w:eastAsia="Times New Roman" w:hAnsi="Times New Roman" w:cs="Times New Roman"/>
          <w:lang w:eastAsia="en-GB"/>
        </w:rPr>
        <w:tab/>
      </w:r>
      <w:r w:rsidRPr="00733E09">
        <w:rPr>
          <w:rFonts w:ascii="Times New Roman" w:eastAsia="Times New Roman" w:hAnsi="Times New Roman" w:cs="Times New Roman"/>
          <w:b/>
          <w:lang w:eastAsia="en-GB"/>
        </w:rPr>
        <w:t>Le contrôleur de données</w:t>
      </w:r>
    </w:p>
    <w:p w:rsidR="00733E09" w:rsidRPr="00733E09" w:rsidRDefault="00733E09" w:rsidP="00733E09">
      <w:pPr>
        <w:spacing w:after="0" w:line="240" w:lineRule="auto"/>
        <w:ind w:left="426" w:right="175"/>
        <w:jc w:val="both"/>
        <w:rPr>
          <w:rFonts w:ascii="Times New Roman" w:eastAsia="Times New Roman" w:hAnsi="Times New Roman" w:cs="Times New Roman"/>
          <w:lang w:eastAsia="en-GB"/>
        </w:rPr>
      </w:pPr>
      <w:r w:rsidRPr="00733E09">
        <w:rPr>
          <w:rFonts w:ascii="Times New Roman" w:eastAsia="Times New Roman" w:hAnsi="Times New Roman" w:cs="Times New Roman"/>
          <w:lang w:eastAsia="en-GB"/>
        </w:rPr>
        <w:lastRenderedPageBreak/>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unité HR.B.1, </w:t>
      </w:r>
      <w:hyperlink r:id="rId10" w:history="1">
        <w:r w:rsidRPr="00733E09">
          <w:rPr>
            <w:rFonts w:ascii="Times New Roman" w:eastAsia="Times New Roman" w:hAnsi="Times New Roman" w:cs="Times New Roman"/>
            <w:color w:val="0000FF"/>
            <w:u w:val="single"/>
            <w:lang w:eastAsia="en-GB"/>
          </w:rPr>
          <w:t>HR-B1-DPR@ec.europa.eu</w:t>
        </w:r>
      </w:hyperlink>
      <w:r w:rsidRPr="00733E09">
        <w:rPr>
          <w:rFonts w:ascii="Times New Roman" w:eastAsia="Times New Roman" w:hAnsi="Times New Roman" w:cs="Times New Roman"/>
          <w:color w:val="0000FF"/>
          <w:lang w:eastAsia="en-GB"/>
        </w:rPr>
        <w:t>.</w:t>
      </w:r>
    </w:p>
    <w:p w:rsidR="00733E09" w:rsidRPr="00733E09" w:rsidRDefault="00733E09" w:rsidP="00733E09">
      <w:pPr>
        <w:spacing w:after="0" w:line="240" w:lineRule="auto"/>
        <w:ind w:left="426" w:right="175"/>
        <w:jc w:val="both"/>
        <w:rPr>
          <w:rFonts w:ascii="Times New Roman" w:eastAsia="Times New Roman" w:hAnsi="Times New Roman" w:cs="Times New Roman"/>
          <w:lang w:eastAsia="en-GB"/>
        </w:rPr>
      </w:pPr>
    </w:p>
    <w:p w:rsidR="00733E09" w:rsidRPr="00733E09" w:rsidRDefault="00733E09" w:rsidP="00733E09">
      <w:pPr>
        <w:tabs>
          <w:tab w:val="left" w:pos="193"/>
        </w:tabs>
        <w:spacing w:after="0" w:line="240" w:lineRule="auto"/>
        <w:ind w:left="426" w:right="175"/>
        <w:jc w:val="both"/>
        <w:rPr>
          <w:rFonts w:ascii="Times New Roman" w:eastAsia="Times New Roman" w:hAnsi="Times New Roman" w:cs="Times New Roman"/>
          <w:lang w:eastAsia="en-GB"/>
        </w:rPr>
      </w:pPr>
      <w:r w:rsidRPr="00733E09">
        <w:rPr>
          <w:rFonts w:ascii="Times New Roman" w:eastAsia="Times New Roman" w:hAnsi="Times New Roman" w:cs="Times New Roman"/>
          <w:lang w:eastAsia="en-GB"/>
        </w:rPr>
        <w:t>-</w:t>
      </w:r>
      <w:r w:rsidRPr="00733E09">
        <w:rPr>
          <w:rFonts w:ascii="Times New Roman" w:eastAsia="Times New Roman" w:hAnsi="Times New Roman" w:cs="Times New Roman"/>
          <w:lang w:eastAsia="en-GB"/>
        </w:rPr>
        <w:tab/>
      </w:r>
      <w:r w:rsidRPr="00733E09">
        <w:rPr>
          <w:rFonts w:ascii="Times New Roman" w:eastAsia="Times New Roman" w:hAnsi="Times New Roman" w:cs="Times New Roman"/>
          <w:b/>
          <w:u w:val="single"/>
          <w:lang w:eastAsia="en-GB"/>
        </w:rPr>
        <w:t>Le délégué à la protection des données (DPD) de la Commission</w:t>
      </w:r>
    </w:p>
    <w:p w:rsidR="00733E09" w:rsidRPr="00733E09" w:rsidRDefault="00733E09" w:rsidP="00733E09">
      <w:pPr>
        <w:spacing w:after="0" w:line="240" w:lineRule="auto"/>
        <w:ind w:left="426" w:right="175"/>
        <w:jc w:val="both"/>
        <w:rPr>
          <w:rFonts w:ascii="Times New Roman" w:eastAsia="Times New Roman" w:hAnsi="Times New Roman" w:cs="Times New Roman"/>
          <w:lang w:eastAsia="en-GB"/>
        </w:rPr>
      </w:pPr>
      <w:r w:rsidRPr="00733E09">
        <w:rPr>
          <w:rFonts w:ascii="Times New Roman" w:eastAsia="Times New Roman" w:hAnsi="Times New Roman" w:cs="Times New Roman"/>
          <w:lang w:eastAsia="en-GB"/>
        </w:rPr>
        <w:t>Vous pouvez contacter le délégué à la protection des données (</w:t>
      </w:r>
      <w:hyperlink r:id="rId11" w:history="1">
        <w:r w:rsidRPr="00733E09">
          <w:rPr>
            <w:rFonts w:ascii="Times New Roman" w:eastAsia="Times New Roman" w:hAnsi="Times New Roman" w:cs="Times New Roman"/>
            <w:color w:val="0000FF"/>
            <w:u w:val="single"/>
            <w:lang w:eastAsia="en-GB"/>
          </w:rPr>
          <w:t>DATA-PROTECTION-OFFICER@ec.europa.eu</w:t>
        </w:r>
      </w:hyperlink>
      <w:r w:rsidRPr="00733E09">
        <w:rPr>
          <w:rFonts w:ascii="Times New Roman" w:eastAsia="Times New Roman" w:hAnsi="Times New Roman" w:cs="Times New Roman"/>
          <w:lang w:eastAsia="en-GB"/>
        </w:rPr>
        <w:t>) pour toute question relative au traitement de vos données à caractère personnel en vertu du règlement (UE) 2018/1725.</w:t>
      </w:r>
    </w:p>
    <w:p w:rsidR="00733E09" w:rsidRPr="00733E09" w:rsidRDefault="00733E09" w:rsidP="00733E09">
      <w:pPr>
        <w:spacing w:after="0" w:line="240" w:lineRule="auto"/>
        <w:ind w:left="426" w:right="175"/>
        <w:jc w:val="both"/>
        <w:rPr>
          <w:rFonts w:ascii="Times New Roman" w:eastAsia="Times New Roman" w:hAnsi="Times New Roman" w:cs="Times New Roman"/>
          <w:lang w:eastAsia="en-GB"/>
        </w:rPr>
      </w:pPr>
    </w:p>
    <w:p w:rsidR="00733E09" w:rsidRPr="00733E09" w:rsidRDefault="00733E09" w:rsidP="00733E09">
      <w:pPr>
        <w:tabs>
          <w:tab w:val="left" w:pos="193"/>
        </w:tabs>
        <w:spacing w:after="0" w:line="240" w:lineRule="auto"/>
        <w:ind w:left="426" w:right="175"/>
        <w:jc w:val="both"/>
        <w:rPr>
          <w:rFonts w:ascii="Times New Roman" w:eastAsia="Times New Roman" w:hAnsi="Times New Roman" w:cs="Times New Roman"/>
          <w:b/>
          <w:u w:val="single"/>
          <w:lang w:eastAsia="en-GB"/>
        </w:rPr>
      </w:pPr>
      <w:r w:rsidRPr="00733E09">
        <w:rPr>
          <w:rFonts w:ascii="Times New Roman" w:eastAsia="Times New Roman" w:hAnsi="Times New Roman" w:cs="Times New Roman"/>
          <w:b/>
          <w:lang w:eastAsia="en-GB"/>
        </w:rPr>
        <w:t>-</w:t>
      </w:r>
      <w:r w:rsidRPr="00733E09">
        <w:rPr>
          <w:rFonts w:ascii="Times New Roman" w:eastAsia="Times New Roman" w:hAnsi="Times New Roman" w:cs="Times New Roman"/>
          <w:b/>
          <w:lang w:eastAsia="en-GB"/>
        </w:rPr>
        <w:tab/>
      </w:r>
      <w:r w:rsidRPr="00733E09">
        <w:rPr>
          <w:rFonts w:ascii="Times New Roman" w:eastAsia="Times New Roman" w:hAnsi="Times New Roman" w:cs="Times New Roman"/>
          <w:b/>
          <w:u w:val="single"/>
          <w:lang w:eastAsia="en-GB"/>
        </w:rPr>
        <w:t>Le contrôleur européen de la protection des données (CEPD)</w:t>
      </w:r>
    </w:p>
    <w:p w:rsidR="00733E09" w:rsidRPr="00733E09" w:rsidRDefault="00733E09" w:rsidP="00733E09">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33E09" w:rsidRPr="00733E09" w:rsidRDefault="00733E09" w:rsidP="00733E09">
      <w:pPr>
        <w:spacing w:after="0" w:line="240" w:lineRule="auto"/>
        <w:ind w:left="426" w:right="175"/>
        <w:jc w:val="both"/>
        <w:rPr>
          <w:rFonts w:ascii="Times New Roman" w:eastAsia="Times New Roman" w:hAnsi="Times New Roman" w:cs="Times New Roman"/>
          <w:lang w:eastAsia="en-GB"/>
        </w:rPr>
      </w:pPr>
      <w:r w:rsidRPr="00733E09">
        <w:rPr>
          <w:rFonts w:ascii="Times New Roman" w:eastAsia="Times New Roman" w:hAnsi="Times New Roman" w:cs="Times New Roman"/>
          <w:lang w:eastAsia="en-GB"/>
        </w:rPr>
        <w:t>Vous avez le droit de saisir le contrôleur européen de la protection des données (</w:t>
      </w:r>
      <w:hyperlink r:id="rId12" w:history="1">
        <w:r w:rsidRPr="00733E09">
          <w:rPr>
            <w:rFonts w:ascii="Times New Roman" w:eastAsia="Times New Roman" w:hAnsi="Times New Roman" w:cs="Times New Roman"/>
            <w:color w:val="0000FF"/>
            <w:u w:val="single"/>
            <w:lang w:eastAsia="en-GB"/>
          </w:rPr>
          <w:t>edps@edps.europa.eu</w:t>
        </w:r>
      </w:hyperlink>
      <w:r w:rsidRPr="00733E09">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33E09" w:rsidRPr="00733E09" w:rsidRDefault="00733E09" w:rsidP="00733E09">
      <w:pPr>
        <w:spacing w:after="0" w:line="240" w:lineRule="auto"/>
        <w:ind w:left="426" w:right="175"/>
        <w:jc w:val="both"/>
        <w:rPr>
          <w:rFonts w:ascii="Times New Roman" w:eastAsia="Times New Roman" w:hAnsi="Times New Roman" w:cs="Times New Roman"/>
          <w:lang w:eastAsia="en-GB"/>
        </w:rPr>
      </w:pPr>
    </w:p>
    <w:p w:rsidR="00745B97" w:rsidRPr="00745B97" w:rsidRDefault="00733E09" w:rsidP="00733E09">
      <w:pPr>
        <w:spacing w:after="0" w:line="240" w:lineRule="auto"/>
        <w:ind w:left="426"/>
        <w:jc w:val="both"/>
        <w:rPr>
          <w:rFonts w:ascii="Times New Roman" w:eastAsia="Times New Roman" w:hAnsi="Times New Roman" w:cs="Times New Roman"/>
          <w:sz w:val="24"/>
          <w:szCs w:val="20"/>
          <w:lang w:eastAsia="en-GB"/>
        </w:rPr>
      </w:pPr>
      <w:r w:rsidRPr="00733E09">
        <w:rPr>
          <w:rFonts w:ascii="Times New Roman" w:eastAsia="Times New Roman" w:hAnsi="Times New Roman" w:cs="Times New Roman"/>
          <w:lang w:eastAsia="en-GB"/>
        </w:rPr>
        <w:t>À l'attention des candidats ressortissant de pays tiers: vos données personnelles peuvent être utilisées aux fins des vérifications de sécurité.</w:t>
      </w:r>
      <w:bookmarkStart w:id="0" w:name="_GoBack"/>
      <w:bookmarkEnd w:id="0"/>
    </w:p>
    <w:p w:rsidR="00AC55BD" w:rsidRDefault="00733E09"/>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055A2"/>
    <w:multiLevelType w:val="hybridMultilevel"/>
    <w:tmpl w:val="131C67B0"/>
    <w:lvl w:ilvl="0" w:tplc="F38C07F8">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 w15:restartNumberingAfterBreak="0">
    <w:nsid w:val="01B22C9D"/>
    <w:multiLevelType w:val="hybridMultilevel"/>
    <w:tmpl w:val="9B7C8DB2"/>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02E95702"/>
    <w:multiLevelType w:val="hybridMultilevel"/>
    <w:tmpl w:val="4D7E711C"/>
    <w:lvl w:ilvl="0" w:tplc="21785350">
      <w:start w:val="1"/>
      <w:numFmt w:val="bullet"/>
      <w:lvlText w:val="-"/>
      <w:lvlJc w:val="left"/>
      <w:pPr>
        <w:ind w:left="1429" w:hanging="360"/>
      </w:pPr>
      <w:rPr>
        <w:rFonts w:ascii="Times New Roman" w:hAnsi="Times New Roman" w:cs="Times New Roman" w:hint="default"/>
      </w:rPr>
    </w:lvl>
    <w:lvl w:ilvl="1" w:tplc="08090003">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06AF14C1"/>
    <w:multiLevelType w:val="hybridMultilevel"/>
    <w:tmpl w:val="AEFC9FF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 w15:restartNumberingAfterBreak="0">
    <w:nsid w:val="07B00CC0"/>
    <w:multiLevelType w:val="hybridMultilevel"/>
    <w:tmpl w:val="0E149266"/>
    <w:lvl w:ilvl="0" w:tplc="A8AC43EC">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5" w15:restartNumberingAfterBreak="0">
    <w:nsid w:val="0AD07B54"/>
    <w:multiLevelType w:val="hybridMultilevel"/>
    <w:tmpl w:val="1C1010B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1A2070DE"/>
    <w:multiLevelType w:val="hybridMultilevel"/>
    <w:tmpl w:val="A032344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1D0C0BAC"/>
    <w:multiLevelType w:val="hybridMultilevel"/>
    <w:tmpl w:val="DA8CB85E"/>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8" w15:restartNumberingAfterBreak="0">
    <w:nsid w:val="24587272"/>
    <w:multiLevelType w:val="hybridMultilevel"/>
    <w:tmpl w:val="2F6CAE38"/>
    <w:lvl w:ilvl="0" w:tplc="43BCF950">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15:restartNumberingAfterBreak="0">
    <w:nsid w:val="24896152"/>
    <w:multiLevelType w:val="hybridMultilevel"/>
    <w:tmpl w:val="B908D8FE"/>
    <w:lvl w:ilvl="0" w:tplc="660AE6EE">
      <w:start w:val="7"/>
      <w:numFmt w:val="bullet"/>
      <w:lvlText w:val="-"/>
      <w:lvlJc w:val="left"/>
      <w:pPr>
        <w:ind w:left="1429" w:hanging="360"/>
      </w:pPr>
      <w:rPr>
        <w:rFonts w:ascii="Verdana" w:eastAsia="Cambria" w:hAnsi="Verdana"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0" w15:restartNumberingAfterBreak="0">
    <w:nsid w:val="2FEE03C2"/>
    <w:multiLevelType w:val="hybridMultilevel"/>
    <w:tmpl w:val="D12C1042"/>
    <w:lvl w:ilvl="0" w:tplc="21785350">
      <w:start w:val="1"/>
      <w:numFmt w:val="bullet"/>
      <w:lvlText w:val="-"/>
      <w:lvlJc w:val="left"/>
      <w:pPr>
        <w:ind w:left="1146" w:hanging="360"/>
      </w:pPr>
      <w:rPr>
        <w:rFonts w:ascii="Times New Roman" w:hAnsi="Times New Roman" w:cs="Times New Roman" w:hint="default"/>
      </w:rPr>
    </w:lvl>
    <w:lvl w:ilvl="1" w:tplc="022A59AA">
      <w:numFmt w:val="bullet"/>
      <w:lvlText w:val="•"/>
      <w:lvlJc w:val="left"/>
      <w:pPr>
        <w:ind w:left="1866" w:hanging="360"/>
      </w:pPr>
      <w:rPr>
        <w:rFonts w:ascii="Times New Roman" w:eastAsia="Times New Roman" w:hAnsi="Times New Roman" w:cs="Times New Roman"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1" w15:restartNumberingAfterBreak="0">
    <w:nsid w:val="30166C5C"/>
    <w:multiLevelType w:val="hybridMultilevel"/>
    <w:tmpl w:val="A778107C"/>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34F72A31"/>
    <w:multiLevelType w:val="hybridMultilevel"/>
    <w:tmpl w:val="0422EB98"/>
    <w:lvl w:ilvl="0" w:tplc="BB646AA6">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3" w15:restartNumberingAfterBreak="0">
    <w:nsid w:val="36673A01"/>
    <w:multiLevelType w:val="hybridMultilevel"/>
    <w:tmpl w:val="67302536"/>
    <w:lvl w:ilvl="0" w:tplc="8846888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4" w15:restartNumberingAfterBreak="0">
    <w:nsid w:val="3A8B33E0"/>
    <w:multiLevelType w:val="hybridMultilevel"/>
    <w:tmpl w:val="9974A060"/>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3AAF0049"/>
    <w:multiLevelType w:val="hybridMultilevel"/>
    <w:tmpl w:val="1AC44AB2"/>
    <w:lvl w:ilvl="0" w:tplc="C3508544">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6" w15:restartNumberingAfterBreak="0">
    <w:nsid w:val="3B1F4642"/>
    <w:multiLevelType w:val="hybridMultilevel"/>
    <w:tmpl w:val="33E8A570"/>
    <w:lvl w:ilvl="0" w:tplc="660AE6EE">
      <w:start w:val="7"/>
      <w:numFmt w:val="bullet"/>
      <w:lvlText w:val="-"/>
      <w:lvlJc w:val="left"/>
      <w:pPr>
        <w:ind w:left="1146" w:hanging="360"/>
      </w:pPr>
      <w:rPr>
        <w:rFonts w:ascii="Verdana" w:eastAsia="Cambria" w:hAnsi="Verdana"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43972C0A"/>
    <w:multiLevelType w:val="hybridMultilevel"/>
    <w:tmpl w:val="6C20A6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445C3BE9"/>
    <w:multiLevelType w:val="hybridMultilevel"/>
    <w:tmpl w:val="5094C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F867EE"/>
    <w:multiLevelType w:val="hybridMultilevel"/>
    <w:tmpl w:val="A6441180"/>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0" w15:restartNumberingAfterBreak="0">
    <w:nsid w:val="50202C4B"/>
    <w:multiLevelType w:val="hybridMultilevel"/>
    <w:tmpl w:val="FB36D27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1" w15:restartNumberingAfterBreak="0">
    <w:nsid w:val="51AA1C3B"/>
    <w:multiLevelType w:val="hybridMultilevel"/>
    <w:tmpl w:val="528072D0"/>
    <w:lvl w:ilvl="0" w:tplc="95D0EAC6">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2" w15:restartNumberingAfterBreak="0">
    <w:nsid w:val="52BD5B0C"/>
    <w:multiLevelType w:val="hybridMultilevel"/>
    <w:tmpl w:val="5AD4F2E2"/>
    <w:lvl w:ilvl="0" w:tplc="A3CC5D10">
      <w:start w:val="1"/>
      <w:numFmt w:val="bullet"/>
      <w:lvlText w:val="-"/>
      <w:lvlJc w:val="left"/>
      <w:pPr>
        <w:ind w:left="1429" w:hanging="360"/>
      </w:pPr>
      <w:rPr>
        <w:rFonts w:ascii="Times New Roman" w:hAnsi="Times New Roman" w:hint="default"/>
        <w:sz w:val="22"/>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3" w15:restartNumberingAfterBreak="0">
    <w:nsid w:val="538F6010"/>
    <w:multiLevelType w:val="hybridMultilevel"/>
    <w:tmpl w:val="404ABC7E"/>
    <w:lvl w:ilvl="0" w:tplc="A3CC5D10">
      <w:start w:val="1"/>
      <w:numFmt w:val="bullet"/>
      <w:lvlText w:val="-"/>
      <w:lvlJc w:val="left"/>
      <w:pPr>
        <w:ind w:left="1429" w:hanging="360"/>
      </w:pPr>
      <w:rPr>
        <w:rFonts w:ascii="Times New Roman" w:hAnsi="Times New Roman" w:hint="default"/>
        <w:sz w:val="22"/>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4" w15:restartNumberingAfterBreak="0">
    <w:nsid w:val="53953F28"/>
    <w:multiLevelType w:val="hybridMultilevel"/>
    <w:tmpl w:val="E77619EA"/>
    <w:lvl w:ilvl="0" w:tplc="BE5C765A">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5" w15:restartNumberingAfterBreak="0">
    <w:nsid w:val="58347DA5"/>
    <w:multiLevelType w:val="hybridMultilevel"/>
    <w:tmpl w:val="0EE6F3FA"/>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6" w15:restartNumberingAfterBreak="0">
    <w:nsid w:val="58C6648E"/>
    <w:multiLevelType w:val="hybridMultilevel"/>
    <w:tmpl w:val="F0407F30"/>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7" w15:restartNumberingAfterBreak="0">
    <w:nsid w:val="5E6B71A9"/>
    <w:multiLevelType w:val="hybridMultilevel"/>
    <w:tmpl w:val="7632016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8" w15:restartNumberingAfterBreak="0">
    <w:nsid w:val="670C7507"/>
    <w:multiLevelType w:val="hybridMultilevel"/>
    <w:tmpl w:val="6FACBA5A"/>
    <w:lvl w:ilvl="0" w:tplc="BB8EEF2E">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9" w15:restartNumberingAfterBreak="0">
    <w:nsid w:val="694E2CA9"/>
    <w:multiLevelType w:val="hybridMultilevel"/>
    <w:tmpl w:val="F5E6191A"/>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0" w15:restartNumberingAfterBreak="0">
    <w:nsid w:val="6C80418A"/>
    <w:multiLevelType w:val="hybridMultilevel"/>
    <w:tmpl w:val="397CAA38"/>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1" w15:restartNumberingAfterBreak="0">
    <w:nsid w:val="6FE453B3"/>
    <w:multiLevelType w:val="hybridMultilevel"/>
    <w:tmpl w:val="6A1EA162"/>
    <w:lvl w:ilvl="0" w:tplc="A3CC5D10">
      <w:start w:val="1"/>
      <w:numFmt w:val="bullet"/>
      <w:lvlText w:val="-"/>
      <w:lvlJc w:val="left"/>
      <w:pPr>
        <w:ind w:left="1429" w:hanging="360"/>
      </w:pPr>
      <w:rPr>
        <w:rFonts w:ascii="Times New Roman" w:hAnsi="Times New Roman" w:hint="default"/>
        <w:sz w:val="22"/>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72EF1362"/>
    <w:multiLevelType w:val="hybridMultilevel"/>
    <w:tmpl w:val="84E8380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3" w15:restartNumberingAfterBreak="0">
    <w:nsid w:val="76B54288"/>
    <w:multiLevelType w:val="hybridMultilevel"/>
    <w:tmpl w:val="4DB2F6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4" w15:restartNumberingAfterBreak="0">
    <w:nsid w:val="797C4B84"/>
    <w:multiLevelType w:val="hybridMultilevel"/>
    <w:tmpl w:val="746601EC"/>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5" w15:restartNumberingAfterBreak="0">
    <w:nsid w:val="7C8A7D81"/>
    <w:multiLevelType w:val="hybridMultilevel"/>
    <w:tmpl w:val="D54A2804"/>
    <w:lvl w:ilvl="0" w:tplc="AF12E452">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6" w15:restartNumberingAfterBreak="0">
    <w:nsid w:val="7CF21C4D"/>
    <w:multiLevelType w:val="hybridMultilevel"/>
    <w:tmpl w:val="D9C28A08"/>
    <w:lvl w:ilvl="0" w:tplc="21785350">
      <w:start w:val="1"/>
      <w:numFmt w:val="bullet"/>
      <w:lvlText w:val="-"/>
      <w:lvlJc w:val="left"/>
      <w:pPr>
        <w:ind w:left="1200" w:hanging="360"/>
      </w:pPr>
      <w:rPr>
        <w:rFonts w:ascii="Times New Roman" w:hAnsi="Times New Roman" w:cs="Times New Roman"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num w:numId="1">
    <w:abstractNumId w:val="16"/>
  </w:num>
  <w:num w:numId="2">
    <w:abstractNumId w:val="13"/>
  </w:num>
  <w:num w:numId="3">
    <w:abstractNumId w:val="31"/>
  </w:num>
  <w:num w:numId="4">
    <w:abstractNumId w:val="18"/>
  </w:num>
  <w:num w:numId="5">
    <w:abstractNumId w:val="14"/>
  </w:num>
  <w:num w:numId="6">
    <w:abstractNumId w:val="4"/>
  </w:num>
  <w:num w:numId="7">
    <w:abstractNumId w:val="22"/>
  </w:num>
  <w:num w:numId="8">
    <w:abstractNumId w:val="15"/>
  </w:num>
  <w:num w:numId="9">
    <w:abstractNumId w:val="23"/>
  </w:num>
  <w:num w:numId="10">
    <w:abstractNumId w:val="11"/>
  </w:num>
  <w:num w:numId="11">
    <w:abstractNumId w:val="1"/>
  </w:num>
  <w:num w:numId="12">
    <w:abstractNumId w:val="8"/>
  </w:num>
  <w:num w:numId="13">
    <w:abstractNumId w:val="25"/>
  </w:num>
  <w:num w:numId="14">
    <w:abstractNumId w:val="30"/>
  </w:num>
  <w:num w:numId="15">
    <w:abstractNumId w:val="9"/>
  </w:num>
  <w:num w:numId="16">
    <w:abstractNumId w:val="0"/>
  </w:num>
  <w:num w:numId="17">
    <w:abstractNumId w:val="34"/>
  </w:num>
  <w:num w:numId="18">
    <w:abstractNumId w:val="32"/>
  </w:num>
  <w:num w:numId="19">
    <w:abstractNumId w:val="21"/>
  </w:num>
  <w:num w:numId="20">
    <w:abstractNumId w:val="17"/>
  </w:num>
  <w:num w:numId="21">
    <w:abstractNumId w:val="35"/>
  </w:num>
  <w:num w:numId="22">
    <w:abstractNumId w:val="29"/>
  </w:num>
  <w:num w:numId="23">
    <w:abstractNumId w:val="33"/>
  </w:num>
  <w:num w:numId="24">
    <w:abstractNumId w:val="10"/>
  </w:num>
  <w:num w:numId="25">
    <w:abstractNumId w:val="6"/>
  </w:num>
  <w:num w:numId="26">
    <w:abstractNumId w:val="2"/>
  </w:num>
  <w:num w:numId="27">
    <w:abstractNumId w:val="26"/>
  </w:num>
  <w:num w:numId="28">
    <w:abstractNumId w:val="28"/>
  </w:num>
  <w:num w:numId="29">
    <w:abstractNumId w:val="7"/>
  </w:num>
  <w:num w:numId="30">
    <w:abstractNumId w:val="12"/>
  </w:num>
  <w:num w:numId="31">
    <w:abstractNumId w:val="36"/>
  </w:num>
  <w:num w:numId="32">
    <w:abstractNumId w:val="20"/>
  </w:num>
  <w:num w:numId="33">
    <w:abstractNumId w:val="27"/>
  </w:num>
  <w:num w:numId="34">
    <w:abstractNumId w:val="3"/>
  </w:num>
  <w:num w:numId="35">
    <w:abstractNumId w:val="19"/>
  </w:num>
  <w:num w:numId="36">
    <w:abstractNumId w:val="24"/>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10C4F"/>
    <w:rsid w:val="000D7956"/>
    <w:rsid w:val="000E6DA3"/>
    <w:rsid w:val="0019598C"/>
    <w:rsid w:val="001B4D48"/>
    <w:rsid w:val="001D1CEB"/>
    <w:rsid w:val="001F18BF"/>
    <w:rsid w:val="001F34B4"/>
    <w:rsid w:val="001F6A8B"/>
    <w:rsid w:val="00294A59"/>
    <w:rsid w:val="002A3536"/>
    <w:rsid w:val="002D3AB2"/>
    <w:rsid w:val="002D5733"/>
    <w:rsid w:val="002F53FB"/>
    <w:rsid w:val="003445AE"/>
    <w:rsid w:val="0036190C"/>
    <w:rsid w:val="00381739"/>
    <w:rsid w:val="003B1B21"/>
    <w:rsid w:val="003F6A25"/>
    <w:rsid w:val="0041391F"/>
    <w:rsid w:val="00443EC9"/>
    <w:rsid w:val="004947DA"/>
    <w:rsid w:val="004D1C94"/>
    <w:rsid w:val="00504F19"/>
    <w:rsid w:val="00534042"/>
    <w:rsid w:val="00563A0A"/>
    <w:rsid w:val="00581C3B"/>
    <w:rsid w:val="006321C7"/>
    <w:rsid w:val="006851C8"/>
    <w:rsid w:val="006F273B"/>
    <w:rsid w:val="00733E09"/>
    <w:rsid w:val="00745B97"/>
    <w:rsid w:val="00762B34"/>
    <w:rsid w:val="00793AF8"/>
    <w:rsid w:val="007F276B"/>
    <w:rsid w:val="007F46B6"/>
    <w:rsid w:val="007F771A"/>
    <w:rsid w:val="00803AF5"/>
    <w:rsid w:val="00804B2F"/>
    <w:rsid w:val="008A02AF"/>
    <w:rsid w:val="00902804"/>
    <w:rsid w:val="00906967"/>
    <w:rsid w:val="009A421C"/>
    <w:rsid w:val="009C39A3"/>
    <w:rsid w:val="00A140DB"/>
    <w:rsid w:val="00A23D3E"/>
    <w:rsid w:val="00A516E1"/>
    <w:rsid w:val="00B05153"/>
    <w:rsid w:val="00B36D07"/>
    <w:rsid w:val="00BA34CF"/>
    <w:rsid w:val="00BC14A5"/>
    <w:rsid w:val="00C20621"/>
    <w:rsid w:val="00C75214"/>
    <w:rsid w:val="00CF677F"/>
    <w:rsid w:val="00D46EC8"/>
    <w:rsid w:val="00D805C9"/>
    <w:rsid w:val="00D869ED"/>
    <w:rsid w:val="00D9400C"/>
    <w:rsid w:val="00DF5355"/>
    <w:rsid w:val="00E109FB"/>
    <w:rsid w:val="00E12EF4"/>
    <w:rsid w:val="00E441A0"/>
    <w:rsid w:val="00FE2FCD"/>
    <w:rsid w:val="00FE31F9"/>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an-Jorge.DE-LA-CABALLERIA@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B1-DPR@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1666</Words>
  <Characters>9535</Characters>
  <Application>Microsoft Office Word</Application>
  <DocSecurity>0</DocSecurity>
  <Lines>198</Lines>
  <Paragraphs>99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HENROTTE Corinne (HR)</dc:creator>
  <cp:lastModifiedBy>HENROTTE Corinne (HR)</cp:lastModifiedBy>
  <cp:revision>3</cp:revision>
  <dcterms:created xsi:type="dcterms:W3CDTF">2022-09-05T10:17:00Z</dcterms:created>
  <dcterms:modified xsi:type="dcterms:W3CDTF">2022-09-05T10:22:00Z</dcterms:modified>
</cp:coreProperties>
</file>