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C4452E"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FISMA-D</w:t>
            </w:r>
            <w:r w:rsidR="00FC61DB">
              <w:rPr>
                <w:rFonts w:ascii="Times New Roman" w:eastAsia="Times New Roman" w:hAnsi="Times New Roman" w:cs="Times New Roman"/>
                <w:b/>
                <w:sz w:val="24"/>
                <w:szCs w:val="20"/>
                <w:lang w:eastAsia="en-GB"/>
              </w:rPr>
              <w:t>-4</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C4452E" w:rsidRPr="00C4452E" w:rsidRDefault="00C4452E" w:rsidP="00C4452E">
            <w:pPr>
              <w:spacing w:after="0" w:line="240" w:lineRule="auto"/>
              <w:rPr>
                <w:rFonts w:ascii="Times New Roman" w:eastAsia="Calibri" w:hAnsi="Times New Roman" w:cs="Times New Roman"/>
                <w:b/>
                <w:lang w:val="es-ES" w:eastAsia="en-GB"/>
              </w:rPr>
            </w:pPr>
            <w:r w:rsidRPr="00C4452E">
              <w:rPr>
                <w:rFonts w:ascii="Times New Roman" w:eastAsia="Calibri" w:hAnsi="Times New Roman" w:cs="Times New Roman"/>
                <w:b/>
                <w:lang w:val="es-ES" w:eastAsia="en-GB"/>
              </w:rPr>
              <w:t>Didier MILLEROT</w:t>
            </w:r>
          </w:p>
          <w:p w:rsidR="00C4452E" w:rsidRPr="00C4452E" w:rsidRDefault="00522FAB" w:rsidP="00C4452E">
            <w:pPr>
              <w:spacing w:after="0" w:line="240" w:lineRule="auto"/>
              <w:rPr>
                <w:rFonts w:ascii="Times New Roman" w:eastAsia="Calibri" w:hAnsi="Times New Roman" w:cs="Times New Roman"/>
                <w:b/>
                <w:lang w:val="es-ES" w:eastAsia="en-GB"/>
              </w:rPr>
            </w:pPr>
            <w:hyperlink r:id="rId8" w:history="1">
              <w:r w:rsidR="00C4452E" w:rsidRPr="00C4452E">
                <w:rPr>
                  <w:rStyle w:val="Hyperlink"/>
                  <w:rFonts w:ascii="Times New Roman" w:eastAsia="Calibri" w:hAnsi="Times New Roman" w:cs="Times New Roman"/>
                  <w:b/>
                  <w:color w:val="0000FF"/>
                  <w:lang w:val="es-ES" w:eastAsia="en-GB"/>
                </w:rPr>
                <w:t>Didier.Millerot@ec.europa.eu</w:t>
              </w:r>
            </w:hyperlink>
            <w:r w:rsidR="00C4452E">
              <w:rPr>
                <w:rFonts w:ascii="Times New Roman" w:eastAsia="Calibri" w:hAnsi="Times New Roman" w:cs="Times New Roman"/>
                <w:b/>
                <w:lang w:val="es-ES" w:eastAsia="en-GB"/>
              </w:rPr>
              <w:t xml:space="preserve"> </w:t>
            </w:r>
          </w:p>
          <w:p w:rsidR="00E9679F" w:rsidRDefault="00C4452E" w:rsidP="00C4452E">
            <w:pPr>
              <w:spacing w:after="0" w:line="240" w:lineRule="auto"/>
              <w:rPr>
                <w:rFonts w:ascii="Times New Roman" w:eastAsia="Calibri" w:hAnsi="Times New Roman" w:cs="Times New Roman"/>
                <w:b/>
                <w:lang w:val="es-ES" w:eastAsia="en-GB"/>
              </w:rPr>
            </w:pPr>
            <w:r w:rsidRPr="00C4452E">
              <w:rPr>
                <w:rFonts w:ascii="Times New Roman" w:eastAsia="Calibri" w:hAnsi="Times New Roman" w:cs="Times New Roman"/>
                <w:b/>
                <w:lang w:val="es-ES" w:eastAsia="en-GB"/>
              </w:rPr>
              <w:t>+32 229-69782</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FC61DB"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FC61DB">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522FAB">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C4452E" w:rsidRDefault="00C4452E" w:rsidP="00C4452E">
      <w:pPr>
        <w:spacing w:after="0" w:line="240" w:lineRule="auto"/>
        <w:ind w:left="426"/>
        <w:jc w:val="both"/>
        <w:rPr>
          <w:rFonts w:ascii="Times New Roman" w:eastAsia="Calibri" w:hAnsi="Times New Roman" w:cs="Times New Roman"/>
          <w:lang w:eastAsia="en-GB"/>
        </w:rPr>
      </w:pPr>
      <w:r w:rsidRPr="00C4452E">
        <w:rPr>
          <w:rFonts w:ascii="Times New Roman" w:eastAsia="Calibri" w:hAnsi="Times New Roman" w:cs="Times New Roman"/>
          <w:lang w:eastAsia="en-GB"/>
        </w:rPr>
        <w:t>La DG FISMA (Stabilité financière, services financiers et union des marchés des capitaux) est chargée d’initier et de mettre en œuvre des mesures de réglementation et d’intégration des marchés financiers.</w:t>
      </w:r>
    </w:p>
    <w:p w:rsidR="00C4452E" w:rsidRPr="00C4452E" w:rsidRDefault="00C4452E" w:rsidP="00C4452E">
      <w:pPr>
        <w:spacing w:after="0" w:line="240" w:lineRule="auto"/>
        <w:ind w:left="426"/>
        <w:jc w:val="both"/>
        <w:rPr>
          <w:rFonts w:ascii="Times New Roman" w:eastAsia="Calibri" w:hAnsi="Times New Roman" w:cs="Times New Roman"/>
          <w:lang w:eastAsia="en-GB"/>
        </w:rPr>
      </w:pPr>
    </w:p>
    <w:p w:rsidR="00C4452E" w:rsidRDefault="00C4452E" w:rsidP="00C4452E">
      <w:pPr>
        <w:spacing w:after="0" w:line="240" w:lineRule="auto"/>
        <w:ind w:left="426"/>
        <w:jc w:val="both"/>
        <w:rPr>
          <w:rFonts w:ascii="Times New Roman" w:eastAsia="Calibri" w:hAnsi="Times New Roman" w:cs="Times New Roman"/>
          <w:lang w:eastAsia="en-GB"/>
        </w:rPr>
      </w:pPr>
      <w:r w:rsidRPr="00C4452E">
        <w:rPr>
          <w:rFonts w:ascii="Times New Roman" w:eastAsia="Calibri" w:hAnsi="Times New Roman" w:cs="Times New Roman"/>
          <w:lang w:eastAsia="en-GB"/>
        </w:rPr>
        <w:t>Le poste est vacant dans l’unité en charge du secteur assurances et fonds de pensions, laquelle est composée d’un</w:t>
      </w:r>
      <w:r>
        <w:rPr>
          <w:rFonts w:ascii="Times New Roman" w:eastAsia="Calibri" w:hAnsi="Times New Roman" w:cs="Times New Roman"/>
          <w:lang w:eastAsia="en-GB"/>
        </w:rPr>
        <w:t>e</w:t>
      </w:r>
      <w:r w:rsidRPr="00C4452E">
        <w:rPr>
          <w:rFonts w:ascii="Times New Roman" w:eastAsia="Calibri" w:hAnsi="Times New Roman" w:cs="Times New Roman"/>
          <w:lang w:eastAsia="en-GB"/>
        </w:rPr>
        <w:t xml:space="preserve"> vingtaine de membres administrateurs de la Commission européenne et experts nationaux détachés. Parmi ses attributions principales, l’unité assure le développement et la mise en œuvre d’un cadre juridique prudentiel européen pour les entreprises d’assurance (la Directive Solvabilité II). L’unité traite aussi des questions relatives à la protection des consommateurs en particulier dans la cadre de la distribution de produits d’assurance, y compris dans le secteur des véhicules à moteur et dans celui des pensions professionnelles et privées (IORP, PEPP). Dans ce contexte, l’unité joue un rôle clé dans l’élaboration d’une Stratégie pour les Investisseurs de Détail pour laquelle des propositions législatives seront présentées en 2023. L’unité est également responsable des relations avec les pays tiers et les organisations internationales compétentes en matière d’assurance. Elle travaille en coopération étroite avec l’Autorité européenne des assurances et des pensions professionnelles (AEAPP) et représente l’UE dans le ses relations internationales en particulier au sein de l’IAIS (International Association of </w:t>
      </w:r>
      <w:proofErr w:type="spellStart"/>
      <w:r w:rsidRPr="00C4452E">
        <w:rPr>
          <w:rFonts w:ascii="Times New Roman" w:eastAsia="Calibri" w:hAnsi="Times New Roman" w:cs="Times New Roman"/>
          <w:lang w:eastAsia="en-GB"/>
        </w:rPr>
        <w:t>Insurance</w:t>
      </w:r>
      <w:proofErr w:type="spellEnd"/>
      <w:r w:rsidRPr="00C4452E">
        <w:rPr>
          <w:rFonts w:ascii="Times New Roman" w:eastAsia="Calibri" w:hAnsi="Times New Roman" w:cs="Times New Roman"/>
          <w:lang w:eastAsia="en-GB"/>
        </w:rPr>
        <w:t xml:space="preserve"> </w:t>
      </w:r>
      <w:proofErr w:type="spellStart"/>
      <w:r w:rsidRPr="00C4452E">
        <w:rPr>
          <w:rFonts w:ascii="Times New Roman" w:eastAsia="Calibri" w:hAnsi="Times New Roman" w:cs="Times New Roman"/>
          <w:lang w:eastAsia="en-GB"/>
        </w:rPr>
        <w:t>Supervisors</w:t>
      </w:r>
      <w:proofErr w:type="spellEnd"/>
      <w:r w:rsidRPr="00C4452E">
        <w:rPr>
          <w:rFonts w:ascii="Times New Roman" w:eastAsia="Calibri" w:hAnsi="Times New Roman" w:cs="Times New Roman"/>
          <w:lang w:eastAsia="en-GB"/>
        </w:rPr>
        <w:t>).</w:t>
      </w:r>
    </w:p>
    <w:p w:rsidR="00C4452E" w:rsidRPr="00C4452E" w:rsidRDefault="00C4452E" w:rsidP="00C4452E">
      <w:pPr>
        <w:spacing w:after="0" w:line="240" w:lineRule="auto"/>
        <w:ind w:left="426"/>
        <w:jc w:val="both"/>
        <w:rPr>
          <w:rFonts w:ascii="Times New Roman" w:eastAsia="Calibri" w:hAnsi="Times New Roman" w:cs="Times New Roman"/>
          <w:lang w:eastAsia="en-GB"/>
        </w:rPr>
      </w:pPr>
    </w:p>
    <w:p w:rsidR="00C4452E" w:rsidRDefault="00C4452E" w:rsidP="00C4452E">
      <w:pPr>
        <w:spacing w:after="0" w:line="240" w:lineRule="auto"/>
        <w:ind w:left="426"/>
        <w:jc w:val="both"/>
        <w:rPr>
          <w:rFonts w:ascii="Times New Roman" w:eastAsia="Calibri" w:hAnsi="Times New Roman" w:cs="Times New Roman"/>
          <w:lang w:eastAsia="en-GB"/>
        </w:rPr>
      </w:pPr>
      <w:r w:rsidRPr="00C4452E">
        <w:rPr>
          <w:rFonts w:ascii="Times New Roman" w:eastAsia="Calibri" w:hAnsi="Times New Roman" w:cs="Times New Roman"/>
          <w:lang w:eastAsia="en-GB"/>
        </w:rPr>
        <w:t xml:space="preserve">Les responsabilités du poste seront principalement de préparer la contribution du secteur assurances à la Stratégie pour les Investisseurs de Détail, ce y compris la rédaction d’amendements à la directive sur la distribution de produits d’assurances (IDD). Le poste impliquera aussi une participation à d’autres dossiers comme par exemple la revue de la directive Solvabilité II ou la mise en œuvre de la version révisée de la directive sur l’assurance pour les véhicules à moteur (MID). </w:t>
      </w:r>
    </w:p>
    <w:p w:rsidR="00C4452E" w:rsidRPr="00C4452E" w:rsidRDefault="00C4452E" w:rsidP="00C4452E">
      <w:pPr>
        <w:spacing w:after="0" w:line="240" w:lineRule="auto"/>
        <w:ind w:left="426"/>
        <w:jc w:val="both"/>
        <w:rPr>
          <w:rFonts w:ascii="Times New Roman" w:eastAsia="Calibri" w:hAnsi="Times New Roman" w:cs="Times New Roman"/>
          <w:lang w:eastAsia="en-GB"/>
        </w:rPr>
      </w:pPr>
    </w:p>
    <w:p w:rsidR="00EB414C" w:rsidRPr="00EB414C" w:rsidRDefault="00C4452E" w:rsidP="00C4452E">
      <w:pPr>
        <w:spacing w:after="0" w:line="240" w:lineRule="auto"/>
        <w:ind w:left="426"/>
        <w:jc w:val="both"/>
        <w:rPr>
          <w:rFonts w:ascii="Times New Roman" w:eastAsia="Calibri" w:hAnsi="Times New Roman" w:cs="Times New Roman"/>
          <w:lang w:eastAsia="en-GB"/>
        </w:rPr>
      </w:pPr>
      <w:r w:rsidRPr="00C4452E">
        <w:rPr>
          <w:rFonts w:ascii="Times New Roman" w:eastAsia="Calibri" w:hAnsi="Times New Roman" w:cs="Times New Roman"/>
          <w:lang w:eastAsia="en-GB"/>
        </w:rPr>
        <w:lastRenderedPageBreak/>
        <w:t>L’expert sera amené à produire des analyses techniques et à contribuer à l’élaboration d’initiatives politiques dans les domaines sous sa responsabilité. Il/elle sera amené(e) à préparer des briefings pour le directeur-général ou le Commissaire pour leurs rencontres avec les parties prenantes, et à participer à des réunions à haut niveau sous la supervision d’un fonctionnaire de la Commission. L’expert prendra également part à des réunions dans le cadre des procédures législatives en cours. Il/elle participera à titre occasionnel à des conférences publiques portant sur des sujets relevant de sa responsabilité. Le poste requiert des contacts réguliers avec l’AEAPP et l’IAIS et la participation à des réunions de groupes techniques dans le cadre de ces organisations.</w:t>
      </w:r>
    </w:p>
    <w:p w:rsidR="00CF1A8E" w:rsidRDefault="00CF1A8E" w:rsidP="00CF1A8E">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4D54C2">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C4452E" w:rsidRPr="00C4452E">
        <w:rPr>
          <w:rFonts w:ascii="Times New Roman" w:eastAsia="Times New Roman" w:hAnsi="Times New Roman" w:cs="Times New Roman"/>
          <w:lang w:eastAsia="en-GB"/>
        </w:rPr>
        <w:t>économie, économétrie ou mathématiques, actuariat, droit ou comptabilité</w:t>
      </w:r>
      <w:r w:rsidR="00951E71">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C4452E" w:rsidRPr="00C4452E" w:rsidRDefault="00C4452E" w:rsidP="00C4452E">
      <w:pPr>
        <w:tabs>
          <w:tab w:val="left" w:pos="709"/>
        </w:tabs>
        <w:spacing w:after="0" w:line="240" w:lineRule="auto"/>
        <w:ind w:left="709" w:right="60"/>
        <w:jc w:val="both"/>
        <w:rPr>
          <w:rFonts w:ascii="Times New Roman" w:hAnsi="Times New Roman" w:cs="Times New Roman"/>
        </w:rPr>
      </w:pPr>
      <w:r w:rsidRPr="00C4452E">
        <w:rPr>
          <w:rFonts w:ascii="Times New Roman" w:hAnsi="Times New Roman" w:cs="Times New Roman"/>
        </w:rPr>
        <w:t>Le candidat doit posséder une expérience du secteur financier ou de sa réglementation. Le candidat doit avoir une bonne connaissance du secteur de l’assurance et de l’activité d’assurance et devrait être fortement intéressé par la protection des consommateurs liée à la distribution de produits d’assurance. Une connaissance des procédures institutionnelles de l’Union et de la rédaction juridique serait également un atout. Une expérience relative au cadre prudentiel du secteur assurances et/ou en matière de règles de conduite professionnelle pour les distributeurs de produits d’assurance serait un atout</w:t>
      </w:r>
      <w:r>
        <w:rPr>
          <w:rFonts w:ascii="Times New Roman" w:hAnsi="Times New Roman" w:cs="Times New Roman"/>
        </w:rPr>
        <w:t>.</w:t>
      </w:r>
    </w:p>
    <w:p w:rsidR="00C4452E" w:rsidRPr="00C4452E" w:rsidRDefault="00C4452E" w:rsidP="00C4452E">
      <w:pPr>
        <w:tabs>
          <w:tab w:val="left" w:pos="709"/>
        </w:tabs>
        <w:spacing w:after="0" w:line="240" w:lineRule="auto"/>
        <w:ind w:left="709" w:right="60"/>
        <w:jc w:val="both"/>
        <w:rPr>
          <w:rFonts w:ascii="Times New Roman" w:hAnsi="Times New Roman" w:cs="Times New Roman"/>
        </w:rPr>
      </w:pPr>
    </w:p>
    <w:p w:rsidR="00986EC3" w:rsidRPr="00EB414C" w:rsidRDefault="00C4452E" w:rsidP="00C4452E">
      <w:pPr>
        <w:tabs>
          <w:tab w:val="left" w:pos="709"/>
        </w:tabs>
        <w:spacing w:after="0" w:line="240" w:lineRule="auto"/>
        <w:ind w:left="709" w:right="60"/>
        <w:jc w:val="both"/>
        <w:rPr>
          <w:rFonts w:ascii="Times New Roman" w:hAnsi="Times New Roman" w:cs="Times New Roman"/>
        </w:rPr>
      </w:pPr>
      <w:r w:rsidRPr="00C4452E">
        <w:rPr>
          <w:rFonts w:ascii="Times New Roman" w:hAnsi="Times New Roman" w:cs="Times New Roman"/>
        </w:rPr>
        <w:t>Ce poste requiert une grande flexibilité et une grande capacité à résister à la pression. Ses interlocuteurs étant souvent de haut niveau (par exemple, représentants de gouvernements nationaux, députés européens, dirigeants d’entreprises d’assurance), l’expert devra aussi savoir faire preuve de sens politique.</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C4452E"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C4452E">
        <w:rPr>
          <w:rFonts w:ascii="Times New Roman" w:hAnsi="Times New Roman" w:cs="Times New Roman"/>
        </w:rPr>
        <w:t>L'expert national détaché doit maîtriser au moins deux langues de l'Union européenne. La langue de travail principale est l’anglais. Une bonne maîtrise du français serait appréciée mais elle n'est pas nécessaire.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lastRenderedPageBreak/>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9"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0"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1"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522FAB" w:rsidRDefault="00522FAB">
      <w:pPr>
        <w:pStyle w:val="FootnoteText"/>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5"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1"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2"/>
  </w:num>
  <w:num w:numId="2">
    <w:abstractNumId w:val="3"/>
  </w:num>
  <w:num w:numId="3">
    <w:abstractNumId w:val="10"/>
  </w:num>
  <w:num w:numId="4">
    <w:abstractNumId w:val="7"/>
  </w:num>
  <w:num w:numId="5">
    <w:abstractNumId w:val="17"/>
  </w:num>
  <w:num w:numId="6">
    <w:abstractNumId w:val="4"/>
  </w:num>
  <w:num w:numId="7">
    <w:abstractNumId w:val="9"/>
  </w:num>
  <w:num w:numId="8">
    <w:abstractNumId w:val="6"/>
  </w:num>
  <w:num w:numId="9">
    <w:abstractNumId w:val="1"/>
  </w:num>
  <w:num w:numId="10">
    <w:abstractNumId w:val="18"/>
  </w:num>
  <w:num w:numId="11">
    <w:abstractNumId w:val="20"/>
  </w:num>
  <w:num w:numId="12">
    <w:abstractNumId w:val="16"/>
  </w:num>
  <w:num w:numId="13">
    <w:abstractNumId w:val="12"/>
  </w:num>
  <w:num w:numId="14">
    <w:abstractNumId w:val="14"/>
  </w:num>
  <w:num w:numId="15">
    <w:abstractNumId w:val="15"/>
  </w:num>
  <w:num w:numId="16">
    <w:abstractNumId w:val="11"/>
  </w:num>
  <w:num w:numId="17">
    <w:abstractNumId w:val="19"/>
  </w:num>
  <w:num w:numId="18">
    <w:abstractNumId w:val="8"/>
  </w:num>
  <w:num w:numId="19">
    <w:abstractNumId w:val="13"/>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B03DD"/>
    <w:rsid w:val="000C6B7E"/>
    <w:rsid w:val="00130F26"/>
    <w:rsid w:val="00165C06"/>
    <w:rsid w:val="001B3870"/>
    <w:rsid w:val="001C7BD9"/>
    <w:rsid w:val="001D7A41"/>
    <w:rsid w:val="002E490B"/>
    <w:rsid w:val="003D6E31"/>
    <w:rsid w:val="00456A5D"/>
    <w:rsid w:val="00462A9F"/>
    <w:rsid w:val="004A1EC4"/>
    <w:rsid w:val="004C0BE3"/>
    <w:rsid w:val="004D54C2"/>
    <w:rsid w:val="005175E6"/>
    <w:rsid w:val="00522FAB"/>
    <w:rsid w:val="005E606B"/>
    <w:rsid w:val="005F0D83"/>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617C2"/>
    <w:rsid w:val="00B93C1E"/>
    <w:rsid w:val="00C226B5"/>
    <w:rsid w:val="00C4363D"/>
    <w:rsid w:val="00C4452E"/>
    <w:rsid w:val="00C54D41"/>
    <w:rsid w:val="00C60F8A"/>
    <w:rsid w:val="00C77C1F"/>
    <w:rsid w:val="00CE30FC"/>
    <w:rsid w:val="00CF1A8E"/>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522F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2FAB"/>
    <w:rPr>
      <w:sz w:val="20"/>
      <w:szCs w:val="20"/>
      <w:lang w:val="fr-BE"/>
    </w:rPr>
  </w:style>
  <w:style w:type="character" w:styleId="FootnoteReference">
    <w:name w:val="footnote reference"/>
    <w:basedOn w:val="DefaultParagraphFont"/>
    <w:uiPriority w:val="99"/>
    <w:semiHidden/>
    <w:unhideWhenUsed/>
    <w:rsid w:val="00522F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dier.Millerot@ec.europa.e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R-B1-DPR@ec.europa.e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1663</Words>
  <Characters>9615</Characters>
  <Application>Microsoft Office Word</Application>
  <DocSecurity>0</DocSecurity>
  <Lines>188</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2022-08-22T09:37:00Z</dcterms:created>
  <dcterms:modified xsi:type="dcterms:W3CDTF">2022-08-22T10:08:00Z</dcterms:modified>
</cp:coreProperties>
</file>