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446DEC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337B4D" w:rsidTr="00F13F23">
        <w:tc>
          <w:tcPr>
            <w:tcW w:w="4811" w:type="dxa"/>
            <w:vAlign w:val="center"/>
          </w:tcPr>
          <w:p w:rsidR="00F13F23" w:rsidRPr="00446DEC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446DEC">
              <w:rPr>
                <w:rFonts w:cstheme="minorHAns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446DEC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446DEC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446DEC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446DEC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446DEC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446DEC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446DEC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Pr="00446DEC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46DEC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446DEC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38398E" w:rsidRPr="00446DEC">
        <w:rPr>
          <w:rStyle w:val="tlid-translation"/>
          <w:rFonts w:cstheme="minorHAnsi"/>
          <w:sz w:val="24"/>
          <w:szCs w:val="24"/>
          <w:lang w:val="bg-BG"/>
        </w:rPr>
        <w:t>Черна гора</w:t>
      </w:r>
      <w:r w:rsidR="001D4F9E" w:rsidRPr="00446DEC">
        <w:rPr>
          <w:rStyle w:val="tlid-translation"/>
          <w:rFonts w:cstheme="minorHAnsi"/>
          <w:sz w:val="24"/>
          <w:szCs w:val="24"/>
          <w:lang w:val="ru-RU"/>
        </w:rPr>
        <w:t xml:space="preserve"> 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0D69C2" w:rsidRPr="00446DEC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446DEC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446DEC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1E7475" w:rsidRPr="00446DEC">
        <w:rPr>
          <w:rStyle w:val="tlid-translation"/>
          <w:rFonts w:cstheme="minorHAnsi"/>
          <w:b/>
          <w:sz w:val="24"/>
          <w:szCs w:val="24"/>
          <w:lang w:val="ru-RU"/>
        </w:rPr>
        <w:t>Черна гора</w:t>
      </w:r>
      <w:r w:rsidR="001D4F9E" w:rsidRPr="00446DEC">
        <w:rPr>
          <w:rStyle w:val="tlid-translation"/>
          <w:rFonts w:cstheme="minorHAnsi"/>
          <w:b/>
          <w:sz w:val="24"/>
          <w:szCs w:val="24"/>
          <w:lang w:val="bg-BG"/>
        </w:rPr>
        <w:t xml:space="preserve"> </w:t>
      </w: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446DEC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FF2E64" w:rsidRPr="00446DEC" w:rsidRDefault="00FF2E64" w:rsidP="00FF2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приобщаващо и качествено образование, вкл. подобряване на училищната инфраструктура;</w:t>
      </w:r>
    </w:p>
    <w:p w:rsidR="00FF2E64" w:rsidRPr="00446DEC" w:rsidRDefault="00FF2E64" w:rsidP="00FF2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Защита и гарантиране правата на човека със специално внимание към жените, децата, хората с увреждания и други уязвими групи; </w:t>
      </w:r>
    </w:p>
    <w:p w:rsidR="00FF2E64" w:rsidRPr="00446DEC" w:rsidRDefault="00FF2E64" w:rsidP="00FF2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Устойчиво икономическо развитие и подкрепа за устойчива заетост;</w:t>
      </w:r>
    </w:p>
    <w:p w:rsidR="00FF2E64" w:rsidRPr="00446DEC" w:rsidRDefault="00FF2E64" w:rsidP="00FF2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качествена и здравословна околна среда и устойчиво управление на природните ресурси;</w:t>
      </w:r>
    </w:p>
    <w:p w:rsidR="001D4F9E" w:rsidRPr="00446DEC" w:rsidRDefault="00FF2E64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>-</w:t>
      </w:r>
      <w:r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Подкрепа за осигуряване на универсално здравно покритие и дост</w:t>
      </w:r>
      <w:r w:rsidR="00A3287F" w:rsidRPr="00446DEC">
        <w:rPr>
          <w:rFonts w:eastAsia="Times New Roman" w:cstheme="minorHAnsi"/>
          <w:i/>
          <w:color w:val="212121"/>
          <w:sz w:val="24"/>
          <w:szCs w:val="24"/>
          <w:lang w:val="bg-BG"/>
        </w:rPr>
        <w:t>ъп до качествени здравни услуги</w:t>
      </w:r>
      <w:r w:rsidR="00A3287F" w:rsidRPr="00446DEC">
        <w:rPr>
          <w:rFonts w:eastAsia="Times New Roman" w:cstheme="minorHAnsi"/>
          <w:i/>
          <w:color w:val="212121"/>
          <w:sz w:val="24"/>
          <w:szCs w:val="24"/>
          <w:lang w:val="ru-RU"/>
        </w:rPr>
        <w:t>.</w:t>
      </w:r>
    </w:p>
    <w:p w:rsidR="00B93894" w:rsidRPr="00446DEC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446DEC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446DEC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A253AE" w:rsidRPr="00446DEC" w:rsidRDefault="00A253AE" w:rsidP="00A253AE">
      <w:pPr>
        <w:pStyle w:val="a4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446DEC">
        <w:rPr>
          <w:rFonts w:asciiTheme="minorHAnsi" w:hAnsiTheme="minorHAnsi" w:cstheme="minorHAnsi"/>
          <w:i/>
          <w:color w:val="212121"/>
          <w:lang w:val="bg-BG"/>
        </w:rPr>
        <w:t xml:space="preserve">Подпомагане на иновативни методи на преподаване и образователни подходи, модернизиране на училища и центрове за ежедневна грижа за деца и младежи, центрове за деца с увреждания и деца в неравностойно положение; </w:t>
      </w:r>
    </w:p>
    <w:p w:rsidR="001D4F9E" w:rsidRPr="00446DEC" w:rsidRDefault="00337B4D" w:rsidP="00A253AE">
      <w:pPr>
        <w:pStyle w:val="a4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>
        <w:rPr>
          <w:rFonts w:asciiTheme="minorHAnsi" w:hAnsiTheme="minorHAnsi" w:cstheme="minorHAnsi"/>
          <w:i/>
          <w:color w:val="212121"/>
          <w:lang w:val="bg-BG"/>
        </w:rPr>
        <w:t>Конкретни</w:t>
      </w:r>
      <w:bookmarkStart w:id="0" w:name="_GoBack"/>
      <w:bookmarkEnd w:id="0"/>
      <w:r w:rsidR="00A253AE" w:rsidRPr="00446DEC">
        <w:rPr>
          <w:rFonts w:asciiTheme="minorHAnsi" w:hAnsiTheme="minorHAnsi" w:cstheme="minorHAnsi"/>
          <w:i/>
          <w:color w:val="212121"/>
          <w:lang w:val="bg-BG"/>
        </w:rPr>
        <w:t xml:space="preserve"> проекти за прилагане на добри европейски практики за защита правата на децата с увреждания и децата в неравностойно положение;</w:t>
      </w:r>
    </w:p>
    <w:p w:rsidR="001D4F9E" w:rsidRPr="00446DEC" w:rsidRDefault="00A253AE" w:rsidP="00A253AE">
      <w:pPr>
        <w:pStyle w:val="a4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446DEC">
        <w:rPr>
          <w:rFonts w:asciiTheme="minorHAnsi" w:hAnsiTheme="minorHAnsi" w:cstheme="minorHAnsi"/>
          <w:i/>
          <w:color w:val="212121"/>
          <w:lang w:val="bg-BG"/>
        </w:rPr>
        <w:t>Защита и гарантиране правата на човека със специално внимание към жените, децата, хората с увреждания и други уязвими групи;</w:t>
      </w:r>
    </w:p>
    <w:p w:rsidR="00A253AE" w:rsidRPr="00446DEC" w:rsidRDefault="00A253AE" w:rsidP="00A253AE">
      <w:pPr>
        <w:pStyle w:val="a4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446DEC">
        <w:rPr>
          <w:rFonts w:asciiTheme="minorHAnsi" w:hAnsiTheme="minorHAnsi" w:cstheme="minorHAnsi"/>
          <w:i/>
          <w:color w:val="212121"/>
          <w:lang w:val="bg-BG"/>
        </w:rPr>
        <w:t>Насърчаване на постоянен, приобщаващ и устойчив икономически растеж, пълна и продуктивна заетост и достоен труд за всички;</w:t>
      </w:r>
    </w:p>
    <w:p w:rsidR="00A253AE" w:rsidRPr="00446DEC" w:rsidRDefault="00A253AE" w:rsidP="00A253AE">
      <w:pPr>
        <w:pStyle w:val="a4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446DEC">
        <w:rPr>
          <w:rFonts w:asciiTheme="minorHAnsi" w:hAnsiTheme="minorHAnsi" w:cstheme="minorHAnsi"/>
          <w:i/>
          <w:color w:val="212121"/>
          <w:lang w:val="bg-BG"/>
        </w:rPr>
        <w:lastRenderedPageBreak/>
        <w:t>Опазване на биоразнообразието, въздуха и природата, управление на водите и отпадъците, иновативни чисти технологии, изграждането на пречиствателни станции, заводи за преработка на отпадъци и финансиране на дейности, свързани с изпълнението на критериите по глава 27 - Околна среда и изменение на климата;</w:t>
      </w:r>
    </w:p>
    <w:p w:rsidR="001D4F9E" w:rsidRPr="00446DEC" w:rsidRDefault="00A253AE" w:rsidP="00A253AE">
      <w:pPr>
        <w:pStyle w:val="a4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446DEC">
        <w:rPr>
          <w:rFonts w:asciiTheme="minorHAnsi" w:hAnsiTheme="minorHAnsi" w:cstheme="minorHAnsi"/>
          <w:i/>
          <w:color w:val="212121"/>
          <w:lang w:val="bg-BG"/>
        </w:rPr>
        <w:t>Подобряване на инфраструктурата и на подготвеността за черногорските лечебни заведения за отговор на пандемията от COVID-19.</w:t>
      </w:r>
    </w:p>
    <w:p w:rsidR="00326EB3" w:rsidRPr="00446DEC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446DEC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държавни институции;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общини;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болници, поликлиники, здравни центрове и техните служители;</w:t>
      </w:r>
    </w:p>
    <w:p w:rsidR="00A769AE" w:rsidRPr="00A769AE" w:rsidRDefault="00A769AE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неправителствени организации;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образователни институции;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ученици и студенти (включително лица със специални потребности и в неравностойно положение);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преподаватели и административен персонал на училища и университети;</w:t>
      </w:r>
    </w:p>
    <w:p w:rsidR="002C3C46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служители на държавната и местна администрация;</w:t>
      </w:r>
    </w:p>
    <w:p w:rsidR="001D4F9E" w:rsidRPr="00A769AE" w:rsidRDefault="002C3C46" w:rsidP="00A769AE">
      <w:pPr>
        <w:pStyle w:val="a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A769AE">
        <w:rPr>
          <w:rFonts w:asciiTheme="minorHAnsi" w:hAnsiTheme="minorHAnsi" w:cstheme="minorHAnsi"/>
          <w:i/>
          <w:color w:val="212121"/>
          <w:lang w:val="bg-BG"/>
        </w:rPr>
        <w:t>лица с увреждания, лица в неравностойно положение или представители на други уязвими групи.</w:t>
      </w:r>
    </w:p>
    <w:p w:rsidR="004A5F20" w:rsidRPr="00446DEC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446DEC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446DEC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BE23C6" w:rsidRPr="00BE23C6" w:rsidRDefault="00BE23C6" w:rsidP="00BE2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E23C6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социално-икономическото развитие и доброто управление, водещо до устойчив и приобщаващ икономически растеж;</w:t>
      </w:r>
    </w:p>
    <w:p w:rsidR="00BE23C6" w:rsidRPr="00BE23C6" w:rsidRDefault="00BE23C6" w:rsidP="00BE2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E23C6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благосъстоянието и здравето на хората;</w:t>
      </w:r>
    </w:p>
    <w:p w:rsidR="00BE23C6" w:rsidRPr="00BE23C6" w:rsidRDefault="00BE23C6" w:rsidP="00BE2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E23C6"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качествено образование;</w:t>
      </w:r>
    </w:p>
    <w:p w:rsidR="00BE23C6" w:rsidRPr="00BE23C6" w:rsidRDefault="00BE23C6" w:rsidP="00BE2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E23C6">
        <w:rPr>
          <w:rFonts w:eastAsia="Times New Roman" w:cstheme="minorHAnsi"/>
          <w:i/>
          <w:color w:val="212121"/>
          <w:sz w:val="24"/>
          <w:szCs w:val="24"/>
          <w:lang w:val="bg-BG"/>
        </w:rPr>
        <w:t>- защита на правата на човека;</w:t>
      </w:r>
    </w:p>
    <w:p w:rsidR="00BE23C6" w:rsidRPr="00BE23C6" w:rsidRDefault="00BE23C6" w:rsidP="00BE2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E23C6">
        <w:rPr>
          <w:rFonts w:eastAsia="Times New Roman" w:cstheme="minorHAnsi"/>
          <w:i/>
          <w:color w:val="212121"/>
          <w:sz w:val="24"/>
          <w:szCs w:val="24"/>
          <w:lang w:val="bg-BG"/>
        </w:rPr>
        <w:t>- подобряване на административния капацитет;</w:t>
      </w:r>
    </w:p>
    <w:p w:rsidR="001D4F9E" w:rsidRPr="00BE23C6" w:rsidRDefault="00BE23C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E23C6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България.</w:t>
      </w:r>
    </w:p>
    <w:p w:rsidR="00B93894" w:rsidRPr="00446DEC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446DEC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446DEC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446DEC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446DEC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446DEC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446DEC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446DEC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446DEC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446DEC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446DEC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446DEC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446DEC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446DEC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446DEC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446DEC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446DEC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446DEC">
        <w:rPr>
          <w:rFonts w:eastAsia="Times New Roman" w:cstheme="minorHAnsi"/>
          <w:iCs/>
          <w:sz w:val="24"/>
          <w:szCs w:val="24"/>
          <w:lang w:val="bg-BG"/>
        </w:rPr>
        <w:t>лв.</w:t>
      </w:r>
      <w:r w:rsidR="005B722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5B7229" w:rsidRPr="005B7229">
        <w:rPr>
          <w:rFonts w:eastAsia="Times New Roman" w:cstheme="minorHAnsi"/>
          <w:iCs/>
          <w:sz w:val="24"/>
          <w:szCs w:val="24"/>
          <w:lang w:val="bg-BG"/>
        </w:rPr>
        <w:t>(2 556 EUR).</w:t>
      </w:r>
    </w:p>
    <w:p w:rsidR="003D6175" w:rsidRPr="00446DEC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Pr="00446DEC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446DEC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446DEC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446DEC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446DEC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446DEC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446DEC" w:rsidRDefault="003D6175" w:rsidP="002B6887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446DEC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446DEC">
        <w:rPr>
          <w:rFonts w:asciiTheme="minorHAnsi" w:hAnsiTheme="minorHAnsi" w:cstheme="minorHAnsi"/>
          <w:iCs/>
          <w:lang w:val="bg-BG"/>
        </w:rPr>
        <w:t xml:space="preserve">- </w:t>
      </w:r>
      <w:r w:rsidRPr="00446DEC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446DEC">
        <w:rPr>
          <w:rFonts w:asciiTheme="minorHAnsi" w:hAnsiTheme="minorHAnsi" w:cstheme="minorHAnsi"/>
          <w:iCs/>
          <w:lang w:val="bg-BG"/>
        </w:rPr>
        <w:t>70 000</w:t>
      </w:r>
      <w:r w:rsidRPr="00446DEC">
        <w:rPr>
          <w:rFonts w:asciiTheme="minorHAnsi" w:hAnsiTheme="minorHAnsi" w:cstheme="minorHAnsi"/>
          <w:iCs/>
          <w:lang w:val="bg-BG"/>
        </w:rPr>
        <w:t xml:space="preserve"> лв.</w:t>
      </w:r>
      <w:r w:rsidR="002B6887">
        <w:rPr>
          <w:rFonts w:asciiTheme="minorHAnsi" w:hAnsiTheme="minorHAnsi" w:cstheme="minorHAnsi"/>
          <w:iCs/>
          <w:lang w:val="bg-BG"/>
        </w:rPr>
        <w:t xml:space="preserve"> (35 790 EUR)</w:t>
      </w:r>
      <w:r w:rsidRPr="00446DEC">
        <w:rPr>
          <w:rFonts w:asciiTheme="minorHAnsi" w:hAnsiTheme="minorHAnsi" w:cstheme="minorHAnsi"/>
          <w:iCs/>
          <w:lang w:val="bg-BG"/>
        </w:rPr>
        <w:t>;</w:t>
      </w:r>
    </w:p>
    <w:p w:rsidR="003D6175" w:rsidRPr="00446DEC" w:rsidRDefault="003D6175" w:rsidP="00C52AC6">
      <w:pPr>
        <w:pStyle w:val="a4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446DEC">
        <w:rPr>
          <w:rFonts w:asciiTheme="minorHAnsi" w:hAnsiTheme="minorHAnsi" w:cstheme="minorHAnsi"/>
          <w:iCs/>
          <w:lang w:val="bg-BG"/>
        </w:rPr>
        <w:lastRenderedPageBreak/>
        <w:t xml:space="preserve">за проекти, чиято основна цел е извършване на ремонтни </w:t>
      </w:r>
      <w:r w:rsidR="006810BF" w:rsidRPr="00446DEC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446DEC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446DEC">
        <w:rPr>
          <w:rFonts w:asciiTheme="minorHAnsi" w:hAnsiTheme="minorHAnsi" w:cstheme="minorHAnsi"/>
          <w:iCs/>
          <w:lang w:val="bg-BG"/>
        </w:rPr>
        <w:t xml:space="preserve">- </w:t>
      </w:r>
      <w:r w:rsidRPr="00446DEC">
        <w:rPr>
          <w:rFonts w:asciiTheme="minorHAnsi" w:hAnsiTheme="minorHAnsi" w:cstheme="minorHAnsi"/>
          <w:iCs/>
          <w:lang w:val="bg-BG"/>
        </w:rPr>
        <w:t xml:space="preserve">до </w:t>
      </w:r>
      <w:r w:rsidR="00B7776E" w:rsidRPr="00446DEC">
        <w:rPr>
          <w:rFonts w:asciiTheme="minorHAnsi" w:hAnsiTheme="minorHAnsi" w:cstheme="minorHAnsi"/>
          <w:color w:val="212121"/>
          <w:lang w:val="ru-RU"/>
        </w:rPr>
        <w:t>120 000</w:t>
      </w:r>
      <w:r w:rsidR="005C594D" w:rsidRPr="00446DEC">
        <w:rPr>
          <w:rFonts w:asciiTheme="minorHAnsi" w:hAnsiTheme="minorHAnsi" w:cstheme="minorHAnsi"/>
          <w:color w:val="212121"/>
          <w:lang w:val="ru-RU"/>
        </w:rPr>
        <w:t xml:space="preserve"> </w:t>
      </w:r>
      <w:r w:rsidRPr="00446DEC">
        <w:rPr>
          <w:rFonts w:asciiTheme="minorHAnsi" w:hAnsiTheme="minorHAnsi" w:cstheme="minorHAnsi"/>
          <w:iCs/>
          <w:lang w:val="bg-BG"/>
        </w:rPr>
        <w:t>лв.</w:t>
      </w:r>
      <w:r w:rsidR="00C52AC6">
        <w:rPr>
          <w:rFonts w:asciiTheme="minorHAnsi" w:hAnsiTheme="minorHAnsi" w:cstheme="minorHAnsi"/>
          <w:iCs/>
          <w:lang w:val="bg-BG"/>
        </w:rPr>
        <w:t xml:space="preserve"> </w:t>
      </w:r>
      <w:r w:rsidR="00C52AC6" w:rsidRPr="00C52AC6">
        <w:rPr>
          <w:rFonts w:asciiTheme="minorHAnsi" w:hAnsiTheme="minorHAnsi" w:cstheme="minorHAnsi"/>
          <w:iCs/>
          <w:lang w:val="bg-BG"/>
        </w:rPr>
        <w:t>(61 355 EUR).</w:t>
      </w:r>
    </w:p>
    <w:p w:rsidR="001B1E0A" w:rsidRPr="00446DEC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446DEC">
        <w:rPr>
          <w:rFonts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446DEC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446DEC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446DEC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446DEC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446DEC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Pr="00446DEC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446DE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 w:rsidRPr="00446DEC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446DEC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446DEC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446DE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 w:rsidRPr="00446DEC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Pr="00446DEC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446DEC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446DEC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446DE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 w:rsidRPr="00446DEC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446DEC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446DEC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446DEC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446DEC" w:rsidRDefault="003D6175" w:rsidP="003D617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446DEC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446DEC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446DEC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446DEC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446DEC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CC3D28" w:rsidRPr="00446DEC">
        <w:rPr>
          <w:rFonts w:asciiTheme="minorHAnsi" w:hAnsiTheme="minorHAnsi" w:cstheme="minorHAnsi"/>
          <w:color w:val="212121"/>
          <w:lang w:val="ru-RU"/>
        </w:rPr>
        <w:t>Черна гора;</w:t>
      </w:r>
    </w:p>
    <w:p w:rsidR="00351785" w:rsidRPr="00446DEC" w:rsidRDefault="0035178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446DEC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446DEC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446DEC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446DEC" w:rsidRDefault="009F1DF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446DEC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446DEC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446DEC" w:rsidRDefault="00675165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446DEC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446DEC">
        <w:rPr>
          <w:rFonts w:asciiTheme="minorHAnsi" w:hAnsiTheme="minorHAnsi" w:cstheme="minorHAnsi"/>
          <w:color w:val="212121"/>
          <w:lang w:val="bg-BG"/>
        </w:rPr>
        <w:t>;</w:t>
      </w:r>
      <w:r w:rsidRPr="00446DEC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9B63A2" w:rsidRPr="00446DEC" w:rsidRDefault="000B48F1" w:rsidP="009B63A2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446DEC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446DEC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446DEC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446DEC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446DEC" w:rsidRDefault="000B48F1" w:rsidP="00351785">
      <w:pPr>
        <w:pStyle w:val="a4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446DEC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446DEC">
        <w:rPr>
          <w:rFonts w:asciiTheme="minorHAnsi" w:hAnsiTheme="minorHAnsi" w:cstheme="minorHAnsi"/>
          <w:color w:val="212121"/>
          <w:lang w:val="bg-BG"/>
        </w:rPr>
        <w:t>руги</w:t>
      </w:r>
      <w:r w:rsidRPr="00446DEC">
        <w:rPr>
          <w:rFonts w:asciiTheme="minorHAnsi" w:hAnsiTheme="minorHAnsi" w:cstheme="minorHAnsi"/>
          <w:color w:val="212121"/>
          <w:lang w:val="bg-BG"/>
        </w:rPr>
        <w:t xml:space="preserve"> </w:t>
      </w:r>
      <w:r w:rsidR="009B63A2" w:rsidRPr="00446DEC">
        <w:rPr>
          <w:rFonts w:asciiTheme="minorHAnsi" w:hAnsiTheme="minorHAnsi" w:cstheme="minorHAnsi"/>
          <w:color w:val="212121"/>
          <w:lang w:val="bg-BG"/>
        </w:rPr>
        <w:t>организации и сдружения, които нямат политически цели и участие и не развиват стопанска дейност.</w:t>
      </w:r>
    </w:p>
    <w:p w:rsidR="00D744CA" w:rsidRPr="00446DEC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446DEC">
        <w:rPr>
          <w:rStyle w:val="af4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446DE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446DEC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446DEC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446DEC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446DEC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446DEC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446DEC">
        <w:rPr>
          <w:rFonts w:cstheme="minorHAnsi"/>
          <w:lang w:val="ru-RU"/>
        </w:rPr>
        <w:t xml:space="preserve"> </w:t>
      </w:r>
      <w:r w:rsidR="005C03E0" w:rsidRPr="00446DEC">
        <w:rPr>
          <w:rFonts w:cstheme="minorHAnsi"/>
          <w:lang w:val="bg-BG"/>
        </w:rPr>
        <w:t xml:space="preserve">и да отговарят на </w:t>
      </w:r>
      <w:r w:rsidR="005C03E0" w:rsidRPr="00446DEC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446DEC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446DEC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446DEC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446DEC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446DEC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446DEC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446DEC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446DEC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446DEC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446DEC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446DEC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446DEC">
        <w:rPr>
          <w:rFonts w:cstheme="minorHAnsi"/>
          <w:lang w:val="ru-RU"/>
        </w:rPr>
        <w:t xml:space="preserve"> </w:t>
      </w:r>
      <w:r w:rsidR="001B1E0A" w:rsidRPr="00446DEC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446DEC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446DEC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Допустимите дейности, допринасящи за укрепване на публичните институции в Черна гора,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 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Разработване на нови/осъвременяване на съществуващи обучителни модули;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Организиране и провеждане на обучения за служителите от администрацията на Черна гора;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Черна гора;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Организиране и провеждане на семинари, форуми, конференции;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Разработване на изследвания и стратегии;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 за повишаване на информираността за правата на гражданите;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FF0000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FF0000"/>
          <w:sz w:val="24"/>
          <w:szCs w:val="24"/>
          <w:lang w:val="bg-BG"/>
        </w:rPr>
        <w:tab/>
      </w:r>
      <w:r w:rsidRPr="00F152B4">
        <w:rPr>
          <w:rFonts w:eastAsia="Times New Roman" w:cstheme="minorHAnsi"/>
          <w:i/>
          <w:sz w:val="24"/>
          <w:szCs w:val="24"/>
          <w:lang w:val="bg-BG"/>
        </w:rPr>
        <w:t>Дейности за насърчаване на съвместна работа между неправителствените организации и местните, регионалните и националните власти;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>•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Дейности, свързани с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F152B4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firstLine="720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5C594D" w:rsidRPr="00F152B4" w:rsidRDefault="00F152B4" w:rsidP="00F15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ind w:firstLine="720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-</w:t>
      </w:r>
      <w:r w:rsidRPr="00F152B4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Строителни работи за подобряване на обекти  държавна или общинска собственост – училища, болници, детски градини, домове за стари хора и т.н.</w:t>
      </w:r>
    </w:p>
    <w:p w:rsidR="00B93894" w:rsidRPr="00446DEC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446DEC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446DEC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446DEC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446DEC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446DEC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446DEC">
          <w:rPr>
            <w:rStyle w:val="a6"/>
            <w:rFonts w:cstheme="minorHAnsi"/>
          </w:rPr>
          <w:t>https</w:t>
        </w:r>
        <w:r w:rsidR="00DA3B03" w:rsidRPr="00446DEC">
          <w:rPr>
            <w:rStyle w:val="a6"/>
            <w:rFonts w:cstheme="minorHAnsi"/>
            <w:lang w:val="ru-RU"/>
          </w:rPr>
          <w:t>://</w:t>
        </w:r>
        <w:r w:rsidR="00DA3B03" w:rsidRPr="00446DEC">
          <w:rPr>
            <w:rStyle w:val="a6"/>
            <w:rFonts w:cstheme="minorHAnsi"/>
          </w:rPr>
          <w:t>www</w:t>
        </w:r>
        <w:r w:rsidR="00DA3B03" w:rsidRPr="00446DEC">
          <w:rPr>
            <w:rStyle w:val="a6"/>
            <w:rFonts w:cstheme="minorHAnsi"/>
            <w:lang w:val="ru-RU"/>
          </w:rPr>
          <w:t>.</w:t>
        </w:r>
        <w:proofErr w:type="spellStart"/>
        <w:r w:rsidR="00DA3B03" w:rsidRPr="00446DEC">
          <w:rPr>
            <w:rStyle w:val="a6"/>
            <w:rFonts w:cstheme="minorHAnsi"/>
          </w:rPr>
          <w:t>mfa</w:t>
        </w:r>
        <w:proofErr w:type="spellEnd"/>
        <w:r w:rsidR="00DA3B03" w:rsidRPr="00446DEC">
          <w:rPr>
            <w:rStyle w:val="a6"/>
            <w:rFonts w:cstheme="minorHAnsi"/>
            <w:lang w:val="ru-RU"/>
          </w:rPr>
          <w:t>.</w:t>
        </w:r>
        <w:proofErr w:type="spellStart"/>
        <w:r w:rsidR="00DA3B03" w:rsidRPr="00446DEC">
          <w:rPr>
            <w:rStyle w:val="a6"/>
            <w:rFonts w:cstheme="minorHAnsi"/>
          </w:rPr>
          <w:t>bg</w:t>
        </w:r>
        <w:proofErr w:type="spellEnd"/>
        <w:r w:rsidR="00DA3B03" w:rsidRPr="00446DEC">
          <w:rPr>
            <w:rStyle w:val="a6"/>
            <w:rFonts w:cstheme="minorHAnsi"/>
            <w:lang w:val="ru-RU"/>
          </w:rPr>
          <w:t>/</w:t>
        </w:r>
        <w:proofErr w:type="spellStart"/>
        <w:r w:rsidR="00DA3B03" w:rsidRPr="00446DEC">
          <w:rPr>
            <w:rStyle w:val="a6"/>
            <w:rFonts w:cstheme="minorHAnsi"/>
          </w:rPr>
          <w:t>bg</w:t>
        </w:r>
        <w:proofErr w:type="spellEnd"/>
        <w:r w:rsidR="00DA3B03" w:rsidRPr="00446DEC">
          <w:rPr>
            <w:rStyle w:val="a6"/>
            <w:rFonts w:cstheme="minorHAnsi"/>
            <w:lang w:val="ru-RU"/>
          </w:rPr>
          <w:t>/3865</w:t>
        </w:r>
      </w:hyperlink>
    </w:p>
    <w:p w:rsidR="007C034A" w:rsidRPr="00446DEC" w:rsidRDefault="007C034A" w:rsidP="007C03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highlight w:val="yellow"/>
          <w:lang w:val="bg-BG"/>
        </w:rPr>
      </w:pPr>
    </w:p>
    <w:p w:rsidR="00E81F02" w:rsidRPr="00446DEC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290C1B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Черна гора </w:t>
      </w:r>
      <w:r w:rsidR="001A1179" w:rsidRPr="00446DEC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446DEC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446DEC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446DE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446DEC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5C594D" w:rsidRPr="00446DEC" w:rsidRDefault="009A1C81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>Проектните предложения ще се приемат</w:t>
      </w:r>
      <w:r w:rsidRPr="009A1C81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>д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</w:rPr>
        <w:t>o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30 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юни</w:t>
      </w:r>
      <w:r w:rsidR="00B36409" w:rsidRPr="00446DEC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2022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</w:t>
      </w:r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 Посолството на Република България в Подгорица на адрес: гр. Подгорица, </w:t>
      </w:r>
      <w:proofErr w:type="spellStart"/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>bul</w:t>
      </w:r>
      <w:proofErr w:type="spellEnd"/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. </w:t>
      </w:r>
      <w:proofErr w:type="spellStart"/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>Ivana</w:t>
      </w:r>
      <w:proofErr w:type="spellEnd"/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proofErr w:type="spellStart"/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>Crnojevica</w:t>
      </w:r>
      <w:proofErr w:type="spellEnd"/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99/2 и на електронен носител (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едновременно на 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</w:rPr>
        <w:t>PDF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и 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</w:rPr>
        <w:t>MS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</w:rPr>
        <w:t>Word</w:t>
      </w:r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 xml:space="preserve"> </w:t>
      </w:r>
      <w:proofErr w:type="spellStart"/>
      <w:r w:rsidRPr="009A1C81">
        <w:rPr>
          <w:rFonts w:eastAsia="Times New Roman" w:cstheme="minorHAnsi"/>
          <w:b/>
          <w:i/>
          <w:color w:val="212121"/>
          <w:sz w:val="24"/>
          <w:szCs w:val="24"/>
          <w:lang w:val="ru-RU"/>
        </w:rPr>
        <w:t>файлове</w:t>
      </w:r>
      <w:proofErr w:type="spellEnd"/>
      <w:r w:rsidRPr="009A1C81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- .</w:t>
      </w:r>
      <w:r w:rsidRPr="009A1C81">
        <w:rPr>
          <w:rFonts w:eastAsia="Times New Roman" w:cstheme="minorHAnsi"/>
          <w:i/>
          <w:color w:val="212121"/>
          <w:sz w:val="24"/>
          <w:szCs w:val="24"/>
        </w:rPr>
        <w:t>doc</w:t>
      </w:r>
      <w:r w:rsidRPr="009A1C81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или .</w:t>
      </w:r>
      <w:proofErr w:type="spellStart"/>
      <w:r w:rsidRPr="009A1C81">
        <w:rPr>
          <w:rFonts w:eastAsia="Times New Roman" w:cstheme="minorHAnsi"/>
          <w:i/>
          <w:color w:val="212121"/>
          <w:sz w:val="24"/>
          <w:szCs w:val="24"/>
        </w:rPr>
        <w:t>docx</w:t>
      </w:r>
      <w:proofErr w:type="spellEnd"/>
      <w:r w:rsidRPr="009A1C81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) </w:t>
      </w:r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на електронна поща на посолството: </w:t>
      </w:r>
      <w:hyperlink r:id="rId10" w:history="1">
        <w:r w:rsidRPr="00446DEC">
          <w:rPr>
            <w:rFonts w:eastAsia="Times New Roman" w:cstheme="minorHAnsi"/>
            <w:i/>
            <w:color w:val="0000FF"/>
            <w:sz w:val="24"/>
            <w:szCs w:val="24"/>
            <w:u w:val="single"/>
            <w:lang w:val="bg-BG"/>
          </w:rPr>
          <w:t>Embassy.Podgorica@mfa.bg</w:t>
        </w:r>
      </w:hyperlink>
      <w:r w:rsidRPr="009A1C81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:rsidR="00896D8E" w:rsidRPr="00446DEC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446DEC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446DEC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446DEC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Pr="00446DEC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446DEC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E33E8C" w:rsidRPr="00446DEC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E33E8C" w:rsidRPr="00446DEC">
        <w:rPr>
          <w:rFonts w:eastAsia="Times New Roman" w:cstheme="minorHAnsi"/>
          <w:color w:val="212121"/>
          <w:sz w:val="24"/>
          <w:szCs w:val="24"/>
          <w:lang w:val="bg-BG"/>
        </w:rPr>
        <w:t>Черна гора</w:t>
      </w:r>
      <w:r w:rsidR="00076984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446DEC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446DEC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446DEC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446DEC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446DEC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6DEC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446DEC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446DEC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446DEC">
        <w:rPr>
          <w:rFonts w:cstheme="minorHAnsi"/>
          <w:b/>
          <w:sz w:val="24"/>
          <w:szCs w:val="24"/>
          <w:lang w:val="ru-RU"/>
        </w:rPr>
        <w:t xml:space="preserve">Постановление № 234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Министерския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съвет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от 01.08.2011 г. за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политиката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Република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България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участие в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международното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сътрудничество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развитие</w:t>
      </w:r>
      <w:r w:rsidRPr="00446DEC">
        <w:rPr>
          <w:rFonts w:cstheme="minorHAnsi"/>
          <w:b/>
          <w:sz w:val="24"/>
          <w:szCs w:val="24"/>
          <w:lang w:val="bg-BG"/>
        </w:rPr>
        <w:t xml:space="preserve"> (извадки)</w:t>
      </w:r>
    </w:p>
    <w:p w:rsidR="00F75440" w:rsidRPr="00446DEC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b/>
          <w:sz w:val="24"/>
          <w:szCs w:val="24"/>
          <w:lang w:val="bg-BG"/>
        </w:rPr>
        <w:t>Чл.23</w:t>
      </w:r>
      <w:r w:rsidRPr="00446DEC">
        <w:rPr>
          <w:rFonts w:cstheme="minorHAnsi"/>
          <w:sz w:val="24"/>
          <w:szCs w:val="24"/>
          <w:lang w:val="ru-RU"/>
        </w:rPr>
        <w:t>(</w:t>
      </w:r>
      <w:r w:rsidRPr="00446DEC">
        <w:rPr>
          <w:rFonts w:cstheme="minorHAnsi"/>
          <w:b/>
          <w:sz w:val="24"/>
          <w:szCs w:val="24"/>
          <w:lang w:val="ru-RU"/>
        </w:rPr>
        <w:t>3</w:t>
      </w:r>
      <w:r w:rsidRPr="00446DEC">
        <w:rPr>
          <w:rFonts w:cstheme="minorHAnsi"/>
          <w:sz w:val="24"/>
          <w:szCs w:val="24"/>
          <w:lang w:val="ru-RU"/>
        </w:rPr>
        <w:t xml:space="preserve">) </w:t>
      </w:r>
      <w:r w:rsidRPr="00446DEC">
        <w:rPr>
          <w:rFonts w:cstheme="minorHAnsi"/>
          <w:b/>
          <w:sz w:val="24"/>
          <w:szCs w:val="24"/>
          <w:lang w:val="ru-RU"/>
        </w:rPr>
        <w:t xml:space="preserve">Не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може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да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кандидатства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участие в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предоставяне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помощ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развитие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юридическо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лице,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което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446DEC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46DEC">
        <w:rPr>
          <w:rFonts w:cstheme="minorHAnsi"/>
          <w:sz w:val="24"/>
          <w:szCs w:val="24"/>
        </w:rPr>
        <w:t xml:space="preserve">е </w:t>
      </w:r>
      <w:proofErr w:type="spellStart"/>
      <w:r w:rsidRPr="00446DEC">
        <w:rPr>
          <w:rFonts w:cstheme="minorHAnsi"/>
          <w:sz w:val="24"/>
          <w:szCs w:val="24"/>
        </w:rPr>
        <w:t>обявено</w:t>
      </w:r>
      <w:proofErr w:type="spellEnd"/>
      <w:r w:rsidRPr="00446DEC">
        <w:rPr>
          <w:rFonts w:cstheme="minorHAnsi"/>
          <w:sz w:val="24"/>
          <w:szCs w:val="24"/>
        </w:rPr>
        <w:t xml:space="preserve"> в </w:t>
      </w:r>
      <w:proofErr w:type="spellStart"/>
      <w:r w:rsidRPr="00446DEC">
        <w:rPr>
          <w:rFonts w:cstheme="minorHAnsi"/>
          <w:sz w:val="24"/>
          <w:szCs w:val="24"/>
        </w:rPr>
        <w:t>несъстоятелност</w:t>
      </w:r>
      <w:proofErr w:type="spellEnd"/>
      <w:r w:rsidRPr="00446DEC">
        <w:rPr>
          <w:rFonts w:cstheme="minorHAnsi"/>
          <w:sz w:val="24"/>
          <w:szCs w:val="24"/>
        </w:rPr>
        <w:t xml:space="preserve">; </w:t>
      </w:r>
    </w:p>
    <w:p w:rsidR="00BC6297" w:rsidRPr="00446DEC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в производство </w:t>
      </w:r>
      <w:proofErr w:type="gramStart"/>
      <w:r w:rsidRPr="00446DEC">
        <w:rPr>
          <w:rFonts w:cstheme="minorHAnsi"/>
          <w:sz w:val="24"/>
          <w:szCs w:val="24"/>
          <w:lang w:val="ru-RU"/>
        </w:rPr>
        <w:t>по ликвидация</w:t>
      </w:r>
      <w:proofErr w:type="gramEnd"/>
      <w:r w:rsidRPr="00446DEC">
        <w:rPr>
          <w:rFonts w:cstheme="minorHAnsi"/>
          <w:sz w:val="24"/>
          <w:szCs w:val="24"/>
          <w:lang w:val="ru-RU"/>
        </w:rPr>
        <w:t xml:space="preserve"> или се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намира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подобна процедура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съгласно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националните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закони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подзаконови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актове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; </w:t>
      </w:r>
    </w:p>
    <w:p w:rsidR="00BC6297" w:rsidRPr="00446DEC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в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открито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производство по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несъстоятелност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сключило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извънсъдебно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споразумение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кредиторите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си по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смисъла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чл. 740 от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Търговския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закон, а в случай че кандидат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чуждестранно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лице - се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намира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подобна процедура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съгласно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националните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закони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подзаконови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актове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включително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когато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неговата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дейност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е под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разпореждане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съда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или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преустановило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дейността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си; </w:t>
      </w:r>
    </w:p>
    <w:p w:rsidR="00BC6297" w:rsidRPr="00446DEC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лишено от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правото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да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упражнява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определена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професия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дейност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съгласно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законодателството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държавата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в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която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извършено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нарушението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; </w:t>
      </w:r>
    </w:p>
    <w:p w:rsidR="00BC6297" w:rsidRPr="00446DEC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446DEC">
        <w:rPr>
          <w:rFonts w:cstheme="minorHAnsi"/>
          <w:sz w:val="24"/>
          <w:szCs w:val="24"/>
          <w:lang w:val="ru-RU"/>
        </w:rPr>
        <w:t>има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парични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задължения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към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държавата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към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община по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смисъла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чл. 162, ал. 2 от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Данъчно-осигурителния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процесуален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кодекс,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установени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влязъл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сила акт на компетентен орган,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освен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ако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допуснато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разсрочване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отсрочване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задълженията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парични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задължения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свързани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плащането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вноски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социално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осигуряване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данъци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съгласно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правните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норми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държавата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в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която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установено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; </w:t>
      </w:r>
    </w:p>
    <w:p w:rsidR="00BC6297" w:rsidRPr="00446DEC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446DEC">
        <w:rPr>
          <w:rFonts w:cstheme="minorHAnsi"/>
          <w:sz w:val="24"/>
          <w:szCs w:val="24"/>
          <w:lang w:val="ru-RU"/>
        </w:rPr>
        <w:t>има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наличие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непогасени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частни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задължения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към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държавата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изброени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чл. 3, ал. 7 от Закона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Националната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агенция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за приходите. </w:t>
      </w:r>
    </w:p>
    <w:p w:rsidR="00BC6297" w:rsidRPr="00446DEC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b/>
          <w:sz w:val="24"/>
          <w:szCs w:val="24"/>
          <w:lang w:val="ru-RU"/>
        </w:rPr>
        <w:t xml:space="preserve">(4) Не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може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да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кандидатства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участие в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предоставянето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помощ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развитие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юридическо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лице, член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чийто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управителен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орган</w:t>
      </w:r>
      <w:r w:rsidRPr="00446DEC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осъждан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влязла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сила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присъда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престъпление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от общ характер; </w:t>
      </w:r>
    </w:p>
    <w:p w:rsidR="00BC6297" w:rsidRPr="00446DEC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не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изпълнил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задълженията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си,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свързани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плащане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вноски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социално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осигуряване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плащане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данъци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съответствие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приложимото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към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лицето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законодателство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; </w:t>
      </w:r>
    </w:p>
    <w:p w:rsidR="00BC6297" w:rsidRPr="00446DEC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предоставил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умишлено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документи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с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невярно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съдържание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при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осигуряване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gramStart"/>
      <w:r w:rsidRPr="00446DEC">
        <w:rPr>
          <w:rFonts w:cstheme="minorHAnsi"/>
          <w:sz w:val="24"/>
          <w:szCs w:val="24"/>
          <w:lang w:val="ru-RU"/>
        </w:rPr>
        <w:t>на информация</w:t>
      </w:r>
      <w:proofErr w:type="gramEnd"/>
      <w:r w:rsidRPr="00446DEC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изискана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като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условие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финансиране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дейности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по линия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помощта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за развитие, или не е предоставил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такава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информация; </w:t>
      </w:r>
    </w:p>
    <w:p w:rsidR="00BC6297" w:rsidRPr="00446DEC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лишен от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правото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да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упражнява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определена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професия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или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дейност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съгласно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законодателството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държавата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в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която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извършено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нарушението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; </w:t>
      </w:r>
    </w:p>
    <w:p w:rsidR="00BC6297" w:rsidRPr="00446DEC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sz w:val="24"/>
          <w:szCs w:val="24"/>
          <w:lang w:val="ru-RU"/>
        </w:rPr>
        <w:t xml:space="preserve">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юридическо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лице,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което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е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налице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обстоятелство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по ал. 3; </w:t>
      </w:r>
    </w:p>
    <w:p w:rsidR="00BC6297" w:rsidRPr="00446DEC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proofErr w:type="spellStart"/>
      <w:r w:rsidRPr="00446DEC">
        <w:rPr>
          <w:rFonts w:cstheme="minorHAnsi"/>
          <w:sz w:val="24"/>
          <w:szCs w:val="24"/>
          <w:lang w:val="ru-RU"/>
        </w:rPr>
        <w:t>има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наличие на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непогасени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частни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задължения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към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държавата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изброени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в чл. 3, ал. 7 от Закона за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Националната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sz w:val="24"/>
          <w:szCs w:val="24"/>
          <w:lang w:val="ru-RU"/>
        </w:rPr>
        <w:t>агенция</w:t>
      </w:r>
      <w:proofErr w:type="spellEnd"/>
      <w:r w:rsidRPr="00446DEC">
        <w:rPr>
          <w:rFonts w:cstheme="minorHAnsi"/>
          <w:sz w:val="24"/>
          <w:szCs w:val="24"/>
          <w:lang w:val="ru-RU"/>
        </w:rPr>
        <w:t xml:space="preserve"> за приходите.</w:t>
      </w: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ru-RU"/>
        </w:rPr>
      </w:pPr>
      <w:r w:rsidRPr="00446DEC">
        <w:rPr>
          <w:rFonts w:cstheme="minorHAnsi"/>
          <w:b/>
          <w:sz w:val="24"/>
          <w:szCs w:val="24"/>
          <w:lang w:val="ru-RU"/>
        </w:rPr>
        <w:lastRenderedPageBreak/>
        <w:t xml:space="preserve">(6)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Когато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членове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управителните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органи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са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юридически лица,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изискванията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ал. 5 се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отнасят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до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техните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представители в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съответните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управителни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органи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. </w:t>
      </w: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446DEC">
        <w:rPr>
          <w:rFonts w:cstheme="minorHAnsi"/>
          <w:b/>
          <w:sz w:val="24"/>
          <w:szCs w:val="24"/>
          <w:lang w:val="ru-RU"/>
        </w:rPr>
        <w:t xml:space="preserve">(7) Не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могат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да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кандидатстват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участие в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предоставянето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на </w:t>
      </w:r>
      <w:proofErr w:type="spellStart"/>
      <w:r w:rsidRPr="00446DEC">
        <w:rPr>
          <w:rFonts w:cstheme="minorHAnsi"/>
          <w:b/>
          <w:sz w:val="24"/>
          <w:szCs w:val="24"/>
          <w:lang w:val="ru-RU"/>
        </w:rPr>
        <w:t>помощ</w:t>
      </w:r>
      <w:proofErr w:type="spellEnd"/>
      <w:r w:rsidRPr="00446DEC">
        <w:rPr>
          <w:rFonts w:cstheme="minorHAnsi"/>
          <w:b/>
          <w:sz w:val="24"/>
          <w:szCs w:val="24"/>
          <w:lang w:val="ru-RU"/>
        </w:rPr>
        <w:t xml:space="preserve"> за развитие лица</w:t>
      </w:r>
      <w:r w:rsidRPr="00446DEC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446DEC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:rsidR="00BC6297" w:rsidRPr="00446DEC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446DEC">
        <w:rPr>
          <w:rFonts w:asciiTheme="minorHAnsi" w:hAnsiTheme="minorHAnsi" w:cstheme="minorHAnsi"/>
          <w:lang w:val="ru-RU"/>
        </w:rPr>
        <w:t xml:space="preserve">при </w:t>
      </w:r>
      <w:proofErr w:type="spellStart"/>
      <w:r w:rsidRPr="00446DEC">
        <w:rPr>
          <w:rFonts w:asciiTheme="minorHAnsi" w:hAnsiTheme="minorHAnsi" w:cstheme="minorHAnsi"/>
          <w:lang w:val="ru-RU"/>
        </w:rPr>
        <w:t>които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член на </w:t>
      </w:r>
      <w:proofErr w:type="spellStart"/>
      <w:r w:rsidRPr="00446DEC">
        <w:rPr>
          <w:rFonts w:asciiTheme="minorHAnsi" w:hAnsiTheme="minorHAnsi" w:cstheme="minorHAnsi"/>
          <w:lang w:val="ru-RU"/>
        </w:rPr>
        <w:t>управителен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или </w:t>
      </w:r>
      <w:proofErr w:type="spellStart"/>
      <w:r w:rsidRPr="00446DEC">
        <w:rPr>
          <w:rFonts w:asciiTheme="minorHAnsi" w:hAnsiTheme="minorHAnsi" w:cstheme="minorHAnsi"/>
          <w:lang w:val="ru-RU"/>
        </w:rPr>
        <w:t>контролен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орган, </w:t>
      </w:r>
      <w:proofErr w:type="spellStart"/>
      <w:r w:rsidRPr="00446DEC">
        <w:rPr>
          <w:rFonts w:asciiTheme="minorHAnsi" w:hAnsiTheme="minorHAnsi" w:cstheme="minorHAnsi"/>
          <w:lang w:val="ru-RU"/>
        </w:rPr>
        <w:t>както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и временно </w:t>
      </w:r>
      <w:proofErr w:type="spellStart"/>
      <w:r w:rsidRPr="00446DEC">
        <w:rPr>
          <w:rFonts w:asciiTheme="minorHAnsi" w:hAnsiTheme="minorHAnsi" w:cstheme="minorHAnsi"/>
          <w:lang w:val="ru-RU"/>
        </w:rPr>
        <w:t>изпълняващ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такава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длъжност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446DEC">
        <w:rPr>
          <w:rFonts w:asciiTheme="minorHAnsi" w:hAnsiTheme="minorHAnsi" w:cstheme="minorHAnsi"/>
          <w:lang w:val="ru-RU"/>
        </w:rPr>
        <w:t>включително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прокурист или </w:t>
      </w:r>
      <w:proofErr w:type="spellStart"/>
      <w:r w:rsidRPr="00446DEC">
        <w:rPr>
          <w:rFonts w:asciiTheme="minorHAnsi" w:hAnsiTheme="minorHAnsi" w:cstheme="minorHAnsi"/>
          <w:lang w:val="ru-RU"/>
        </w:rPr>
        <w:t>търговски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пълномощник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, е </w:t>
      </w:r>
      <w:proofErr w:type="spellStart"/>
      <w:r w:rsidRPr="00446DEC">
        <w:rPr>
          <w:rFonts w:asciiTheme="minorHAnsi" w:hAnsiTheme="minorHAnsi" w:cstheme="minorHAnsi"/>
          <w:lang w:val="ru-RU"/>
        </w:rPr>
        <w:t>свързано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лице по </w:t>
      </w:r>
      <w:proofErr w:type="spellStart"/>
      <w:r w:rsidRPr="00446DEC">
        <w:rPr>
          <w:rFonts w:asciiTheme="minorHAnsi" w:hAnsiTheme="minorHAnsi" w:cstheme="minorHAnsi"/>
          <w:lang w:val="ru-RU"/>
        </w:rPr>
        <w:t>смисъла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на § 1, т. 1 от </w:t>
      </w:r>
      <w:proofErr w:type="spellStart"/>
      <w:r w:rsidRPr="00446DEC">
        <w:rPr>
          <w:rFonts w:asciiTheme="minorHAnsi" w:hAnsiTheme="minorHAnsi" w:cstheme="minorHAnsi"/>
          <w:lang w:val="ru-RU"/>
        </w:rPr>
        <w:t>допълнителната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разпоредба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на Закона за </w:t>
      </w:r>
      <w:proofErr w:type="spellStart"/>
      <w:r w:rsidRPr="00446DEC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446DEC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446DEC">
        <w:rPr>
          <w:rFonts w:asciiTheme="minorHAnsi" w:hAnsiTheme="minorHAnsi" w:cstheme="minorHAnsi"/>
          <w:lang w:val="ru-RU"/>
        </w:rPr>
        <w:t>интереси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с </w:t>
      </w:r>
      <w:proofErr w:type="spellStart"/>
      <w:r w:rsidRPr="00446DEC">
        <w:rPr>
          <w:rFonts w:asciiTheme="minorHAnsi" w:hAnsiTheme="minorHAnsi" w:cstheme="minorHAnsi"/>
          <w:lang w:val="ru-RU"/>
        </w:rPr>
        <w:t>ведомството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, </w:t>
      </w:r>
      <w:proofErr w:type="spellStart"/>
      <w:r w:rsidRPr="00446DEC">
        <w:rPr>
          <w:rFonts w:asciiTheme="minorHAnsi" w:hAnsiTheme="minorHAnsi" w:cstheme="minorHAnsi"/>
          <w:lang w:val="ru-RU"/>
        </w:rPr>
        <w:t>администриращо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съответния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проект, или </w:t>
      </w:r>
      <w:proofErr w:type="spellStart"/>
      <w:r w:rsidRPr="00446DEC">
        <w:rPr>
          <w:rFonts w:asciiTheme="minorHAnsi" w:hAnsiTheme="minorHAnsi" w:cstheme="minorHAnsi"/>
          <w:lang w:val="ru-RU"/>
        </w:rPr>
        <w:t>със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служители на </w:t>
      </w:r>
      <w:proofErr w:type="spellStart"/>
      <w:r w:rsidRPr="00446DEC">
        <w:rPr>
          <w:rFonts w:asciiTheme="minorHAnsi" w:hAnsiTheme="minorHAnsi" w:cstheme="minorHAnsi"/>
          <w:lang w:val="ru-RU"/>
        </w:rPr>
        <w:t>ръководна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длъжност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в </w:t>
      </w:r>
      <w:proofErr w:type="spellStart"/>
      <w:r w:rsidRPr="00446DEC">
        <w:rPr>
          <w:rFonts w:asciiTheme="minorHAnsi" w:hAnsiTheme="minorHAnsi" w:cstheme="minorHAnsi"/>
          <w:lang w:val="ru-RU"/>
        </w:rPr>
        <w:t>неговата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организация; </w:t>
      </w:r>
    </w:p>
    <w:p w:rsidR="00BC6297" w:rsidRPr="00446DEC" w:rsidRDefault="00BC6297" w:rsidP="00F75440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proofErr w:type="spellStart"/>
      <w:r w:rsidRPr="00446DEC">
        <w:rPr>
          <w:rFonts w:asciiTheme="minorHAnsi" w:hAnsiTheme="minorHAnsi" w:cstheme="minorHAnsi"/>
          <w:lang w:val="ru-RU"/>
        </w:rPr>
        <w:t>които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са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446DEC">
        <w:rPr>
          <w:rFonts w:asciiTheme="minorHAnsi" w:hAnsiTheme="minorHAnsi" w:cstheme="minorHAnsi"/>
          <w:lang w:val="ru-RU"/>
        </w:rPr>
        <w:t>сключили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договор </w:t>
      </w:r>
      <w:proofErr w:type="gramStart"/>
      <w:r w:rsidRPr="00446DEC">
        <w:rPr>
          <w:rFonts w:asciiTheme="minorHAnsi" w:hAnsiTheme="minorHAnsi" w:cstheme="minorHAnsi"/>
          <w:lang w:val="ru-RU"/>
        </w:rPr>
        <w:t>с лице</w:t>
      </w:r>
      <w:proofErr w:type="gramEnd"/>
      <w:r w:rsidRPr="00446DEC">
        <w:rPr>
          <w:rFonts w:asciiTheme="minorHAnsi" w:hAnsiTheme="minorHAnsi" w:cstheme="minorHAnsi"/>
          <w:lang w:val="ru-RU"/>
        </w:rPr>
        <w:t xml:space="preserve"> по чл. 21 или 22 от Закона за </w:t>
      </w:r>
      <w:proofErr w:type="spellStart"/>
      <w:r w:rsidRPr="00446DEC">
        <w:rPr>
          <w:rFonts w:asciiTheme="minorHAnsi" w:hAnsiTheme="minorHAnsi" w:cstheme="minorHAnsi"/>
          <w:lang w:val="ru-RU"/>
        </w:rPr>
        <w:t>предотвратяване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и </w:t>
      </w:r>
      <w:proofErr w:type="spellStart"/>
      <w:r w:rsidRPr="00446DEC">
        <w:rPr>
          <w:rFonts w:asciiTheme="minorHAnsi" w:hAnsiTheme="minorHAnsi" w:cstheme="minorHAnsi"/>
          <w:lang w:val="ru-RU"/>
        </w:rPr>
        <w:t>установяване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 на конфликт на </w:t>
      </w:r>
      <w:proofErr w:type="spellStart"/>
      <w:r w:rsidRPr="00446DEC">
        <w:rPr>
          <w:rFonts w:asciiTheme="minorHAnsi" w:hAnsiTheme="minorHAnsi" w:cstheme="minorHAnsi"/>
          <w:lang w:val="ru-RU"/>
        </w:rPr>
        <w:t>интереси</w:t>
      </w:r>
      <w:proofErr w:type="spellEnd"/>
      <w:r w:rsidRPr="00446DEC">
        <w:rPr>
          <w:rFonts w:asciiTheme="minorHAnsi" w:hAnsiTheme="minorHAnsi" w:cstheme="minorHAnsi"/>
          <w:lang w:val="ru-RU"/>
        </w:rPr>
        <w:t xml:space="preserve">. </w:t>
      </w:r>
    </w:p>
    <w:p w:rsidR="00BC6297" w:rsidRPr="00446DEC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446DEC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33" w:rsidRDefault="002C5E33" w:rsidP="003E46F1">
      <w:pPr>
        <w:spacing w:after="0" w:line="240" w:lineRule="auto"/>
      </w:pPr>
      <w:r>
        <w:separator/>
      </w:r>
    </w:p>
  </w:endnote>
  <w:endnote w:type="continuationSeparator" w:id="0">
    <w:p w:rsidR="002C5E33" w:rsidRDefault="002C5E33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33" w:rsidRDefault="002C5E33" w:rsidP="003E46F1">
      <w:pPr>
        <w:spacing w:after="0" w:line="240" w:lineRule="auto"/>
      </w:pPr>
      <w:r>
        <w:separator/>
      </w:r>
    </w:p>
  </w:footnote>
  <w:footnote w:type="continuationSeparator" w:id="0">
    <w:p w:rsidR="002C5E33" w:rsidRDefault="002C5E33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af2"/>
        <w:rPr>
          <w:lang w:val="bg-BG"/>
        </w:rPr>
      </w:pPr>
      <w:r>
        <w:rPr>
          <w:rStyle w:val="af4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7061E"/>
    <w:multiLevelType w:val="hybridMultilevel"/>
    <w:tmpl w:val="BF3E383A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6FEB6382"/>
    <w:multiLevelType w:val="hybridMultilevel"/>
    <w:tmpl w:val="9288D6CA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8"/>
  </w:num>
  <w:num w:numId="11">
    <w:abstractNumId w:val="17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8"/>
  </w:num>
  <w:num w:numId="18">
    <w:abstractNumId w:val="4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9C2"/>
    <w:rsid w:val="000D6E7C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E7475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90C1B"/>
    <w:rsid w:val="002B6887"/>
    <w:rsid w:val="002C0C0C"/>
    <w:rsid w:val="002C3C46"/>
    <w:rsid w:val="002C5E33"/>
    <w:rsid w:val="002D2C8E"/>
    <w:rsid w:val="002F11F3"/>
    <w:rsid w:val="002F2B17"/>
    <w:rsid w:val="00326EB3"/>
    <w:rsid w:val="00327425"/>
    <w:rsid w:val="00335184"/>
    <w:rsid w:val="00337B4D"/>
    <w:rsid w:val="00342F15"/>
    <w:rsid w:val="00351785"/>
    <w:rsid w:val="003667E0"/>
    <w:rsid w:val="00374D85"/>
    <w:rsid w:val="0038398E"/>
    <w:rsid w:val="003B2D5D"/>
    <w:rsid w:val="003B61BC"/>
    <w:rsid w:val="003D6175"/>
    <w:rsid w:val="003E46F1"/>
    <w:rsid w:val="003E784F"/>
    <w:rsid w:val="00403339"/>
    <w:rsid w:val="00403775"/>
    <w:rsid w:val="0041066A"/>
    <w:rsid w:val="004249B4"/>
    <w:rsid w:val="00446DEC"/>
    <w:rsid w:val="00457382"/>
    <w:rsid w:val="00457B41"/>
    <w:rsid w:val="00494D41"/>
    <w:rsid w:val="004A5F20"/>
    <w:rsid w:val="004D6D1D"/>
    <w:rsid w:val="004E03DD"/>
    <w:rsid w:val="004F4160"/>
    <w:rsid w:val="0052407A"/>
    <w:rsid w:val="00550F2B"/>
    <w:rsid w:val="00550F8B"/>
    <w:rsid w:val="00563038"/>
    <w:rsid w:val="00563962"/>
    <w:rsid w:val="00564F81"/>
    <w:rsid w:val="00570412"/>
    <w:rsid w:val="00587EC1"/>
    <w:rsid w:val="005959C2"/>
    <w:rsid w:val="005A3DA8"/>
    <w:rsid w:val="005B077C"/>
    <w:rsid w:val="005B7229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27271"/>
    <w:rsid w:val="00837C58"/>
    <w:rsid w:val="0086609E"/>
    <w:rsid w:val="00872A85"/>
    <w:rsid w:val="00896D8E"/>
    <w:rsid w:val="008975A0"/>
    <w:rsid w:val="008B6F1C"/>
    <w:rsid w:val="00917E9C"/>
    <w:rsid w:val="00934093"/>
    <w:rsid w:val="00934C11"/>
    <w:rsid w:val="00953829"/>
    <w:rsid w:val="00956173"/>
    <w:rsid w:val="0097308E"/>
    <w:rsid w:val="00975BA8"/>
    <w:rsid w:val="0099314B"/>
    <w:rsid w:val="009A1C81"/>
    <w:rsid w:val="009A1F77"/>
    <w:rsid w:val="009A446A"/>
    <w:rsid w:val="009B327C"/>
    <w:rsid w:val="009B63A2"/>
    <w:rsid w:val="009C0135"/>
    <w:rsid w:val="009C3EE1"/>
    <w:rsid w:val="009F1DF5"/>
    <w:rsid w:val="009F2B56"/>
    <w:rsid w:val="00A04C0D"/>
    <w:rsid w:val="00A200EF"/>
    <w:rsid w:val="00A253AE"/>
    <w:rsid w:val="00A3287F"/>
    <w:rsid w:val="00A60EFF"/>
    <w:rsid w:val="00A618A4"/>
    <w:rsid w:val="00A75138"/>
    <w:rsid w:val="00A769AE"/>
    <w:rsid w:val="00A8795C"/>
    <w:rsid w:val="00AD5295"/>
    <w:rsid w:val="00AD7C1F"/>
    <w:rsid w:val="00AE2652"/>
    <w:rsid w:val="00AF49F7"/>
    <w:rsid w:val="00B00E6B"/>
    <w:rsid w:val="00B36409"/>
    <w:rsid w:val="00B3731B"/>
    <w:rsid w:val="00B415C3"/>
    <w:rsid w:val="00B50661"/>
    <w:rsid w:val="00B74081"/>
    <w:rsid w:val="00B7776E"/>
    <w:rsid w:val="00B87013"/>
    <w:rsid w:val="00B9176B"/>
    <w:rsid w:val="00B93894"/>
    <w:rsid w:val="00BA1059"/>
    <w:rsid w:val="00BB1393"/>
    <w:rsid w:val="00BC6297"/>
    <w:rsid w:val="00BD2320"/>
    <w:rsid w:val="00BD3E6B"/>
    <w:rsid w:val="00BE23C6"/>
    <w:rsid w:val="00BE5CE3"/>
    <w:rsid w:val="00C16027"/>
    <w:rsid w:val="00C31DE2"/>
    <w:rsid w:val="00C34454"/>
    <w:rsid w:val="00C40821"/>
    <w:rsid w:val="00C52AC6"/>
    <w:rsid w:val="00C63093"/>
    <w:rsid w:val="00C63AF3"/>
    <w:rsid w:val="00C8698F"/>
    <w:rsid w:val="00C91A6E"/>
    <w:rsid w:val="00CA507E"/>
    <w:rsid w:val="00CB533B"/>
    <w:rsid w:val="00CC3D28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59E0"/>
    <w:rsid w:val="00D47533"/>
    <w:rsid w:val="00D63F24"/>
    <w:rsid w:val="00D647D7"/>
    <w:rsid w:val="00D744CA"/>
    <w:rsid w:val="00D9501B"/>
    <w:rsid w:val="00DA3B03"/>
    <w:rsid w:val="00DA7879"/>
    <w:rsid w:val="00DC0ACF"/>
    <w:rsid w:val="00DE3405"/>
    <w:rsid w:val="00E03127"/>
    <w:rsid w:val="00E22FA3"/>
    <w:rsid w:val="00E321D4"/>
    <w:rsid w:val="00E33E8C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152B4"/>
    <w:rsid w:val="00F704BA"/>
    <w:rsid w:val="00F75440"/>
    <w:rsid w:val="00F810C5"/>
    <w:rsid w:val="00F87627"/>
    <w:rsid w:val="00F90922"/>
    <w:rsid w:val="00F937AE"/>
    <w:rsid w:val="00FA0899"/>
    <w:rsid w:val="00FB048A"/>
    <w:rsid w:val="00FB43BE"/>
    <w:rsid w:val="00FD2ED1"/>
    <w:rsid w:val="00FD375F"/>
    <w:rsid w:val="00FE795E"/>
    <w:rsid w:val="00FF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46FB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3894"/>
    <w:rPr>
      <w:b/>
      <w:bCs/>
    </w:rPr>
  </w:style>
  <w:style w:type="paragraph" w:styleId="a4">
    <w:name w:val="List Paragraph"/>
    <w:basedOn w:val="a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93894"/>
    <w:rPr>
      <w:i/>
      <w:iCs/>
    </w:rPr>
  </w:style>
  <w:style w:type="character" w:styleId="a6">
    <w:name w:val="Hyperlink"/>
    <w:basedOn w:val="a0"/>
    <w:uiPriority w:val="99"/>
    <w:unhideWhenUsed/>
    <w:rsid w:val="00B9389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94D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494D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94D41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494D4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0">
    <w:name w:val="Текст на бележка в края Знак"/>
    <w:basedOn w:val="a0"/>
    <w:link w:val="af"/>
    <w:uiPriority w:val="99"/>
    <w:semiHidden/>
    <w:rsid w:val="003E46F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E46F1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af3">
    <w:name w:val="Текст под линия Знак"/>
    <w:basedOn w:val="a0"/>
    <w:link w:val="af2"/>
    <w:uiPriority w:val="99"/>
    <w:semiHidden/>
    <w:rsid w:val="003E46F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a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a0"/>
    <w:rsid w:val="001D4F9E"/>
  </w:style>
  <w:style w:type="table" w:styleId="af5">
    <w:name w:val="Table Grid"/>
    <w:basedOn w:val="a1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Podgoric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131D39E7-D51B-4176-B5D5-C2DEF0C3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53</cp:revision>
  <cp:lastPrinted>2019-03-21T14:53:00Z</cp:lastPrinted>
  <dcterms:created xsi:type="dcterms:W3CDTF">2020-03-19T10:40:00Z</dcterms:created>
  <dcterms:modified xsi:type="dcterms:W3CDTF">2022-05-14T17:58:00Z</dcterms:modified>
</cp:coreProperties>
</file>