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3B2D5D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Посолството</w:t>
      </w:r>
      <w:r w:rsidR="00D77995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Тбилиси, Грузия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0D69C2" w:rsidRP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D77995">
        <w:rPr>
          <w:rStyle w:val="tlid-translation"/>
          <w:b/>
          <w:sz w:val="24"/>
          <w:szCs w:val="24"/>
          <w:lang w:val="ru-RU"/>
        </w:rPr>
        <w:t>Грузия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7995" w:rsidRPr="00D77995" w:rsidRDefault="00D77995" w:rsidP="00D7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качествено, всеобхватно и модерно образование, включително чрез подобряване на образователна инфраструктура и подобряване на условията и достъпа до образование ,</w:t>
      </w:r>
    </w:p>
    <w:p w:rsidR="001D4F9E" w:rsidRPr="00D77995" w:rsidRDefault="00D7799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изграждането и развитието на капацитет в сферата на демократизацията, доброто управление и правата на човека, със специално внимание към децата, жените, хората с увреждания и други уязвими групи;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77995" w:rsidRPr="00D77995" w:rsidRDefault="00D77995" w:rsidP="00D7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европейската интеграция на Грузия и развитие на двустранните отношения, в това число:</w:t>
      </w:r>
    </w:p>
    <w:p w:rsidR="00D77995" w:rsidRPr="00D77995" w:rsidRDefault="00D77995" w:rsidP="00D7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Република България;</w:t>
      </w:r>
    </w:p>
    <w:p w:rsidR="00D77995" w:rsidRPr="00D77995" w:rsidRDefault="00D77995" w:rsidP="00D7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>- Насърчаването на демократичните процеси на основата на ценностите на демокрацията и върховенството на закона;</w:t>
      </w:r>
    </w:p>
    <w:p w:rsidR="00D77995" w:rsidRPr="00D77995" w:rsidRDefault="00D77995" w:rsidP="00D7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Изграждане на прозрачни, отговорни и стабилни институции на национално, регионално и местно ниво, гарантиращи висока степен на защита на правата на човека, като предпоставка за устойчиво и възходящо развитие; </w:t>
      </w:r>
    </w:p>
    <w:p w:rsidR="001D4F9E" w:rsidRPr="00D77995" w:rsidRDefault="00D7799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77995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качествено и достъпно образование.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D77995" w:rsidRDefault="00D7799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D77995" w:rsidRDefault="00D7799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D77995" w:rsidRDefault="00D7799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- Неправителствени организации, чиито проекти допринасят за реализацията на приоритетите и постигането на целите на българската официална „Помощ за развитие“;</w:t>
      </w: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Д</w:t>
      </w: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етски градини, училища, дневни центрове и пр.;</w:t>
      </w: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proofErr w:type="spellStart"/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Mаргинализирани</w:t>
      </w:r>
      <w:proofErr w:type="spellEnd"/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уязвими групи, със специален акцент върху деца, жени, хора с увреждания, етнически малцинства и пр.;</w:t>
      </w:r>
    </w:p>
    <w:p w:rsidR="001D4F9E" w:rsidRPr="00837C58" w:rsidRDefault="00FC66D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- Други – организации, допринасящи чрез дейностите си за утвърждаването на доброто име на Република България и развиващи дейност в областите, посочени в обявата, а именно: защита на правата на човека, образо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вание и грижа за уязвими групи и пр.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Република България, разширяване на възможностите за трансфер на експертиза между Република България и Грузия;</w:t>
      </w: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ниво, с цел гарантиране на висока степен на защита на правата на човека, върховенство на правото, демокрация и добро управление;</w:t>
      </w: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към устойчиво и приобщаващо икономическо развитие, намаляване на бедността и повишаване на благоденствието;</w:t>
      </w:r>
    </w:p>
    <w:p w:rsidR="00FC66DC" w:rsidRPr="00FC66DC" w:rsidRDefault="00FC66DC" w:rsidP="00F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>- Повишаване на качеството и разширяване на достъпа до образование, вкл. и за най-уязвимите групи от населението;</w:t>
      </w:r>
    </w:p>
    <w:p w:rsidR="001D4F9E" w:rsidRPr="00837C58" w:rsidRDefault="00FC66D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FC66D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Възприемане и прилагане на добри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практики и европейски стандарти. 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FC66DC">
        <w:rPr>
          <w:rFonts w:eastAsia="Times New Roman" w:cstheme="minorHAnsi"/>
          <w:b/>
          <w:iCs/>
          <w:sz w:val="24"/>
          <w:szCs w:val="24"/>
          <w:lang w:val="bg-BG"/>
        </w:rPr>
        <w:t>5 000</w:t>
      </w:r>
      <w:r w:rsidR="001B3B61" w:rsidRPr="00FC66DC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FC66DC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  <w:r w:rsidR="00FC66DC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FC66DC" w:rsidRPr="00FC66DC">
        <w:rPr>
          <w:rFonts w:eastAsia="Times New Roman" w:cstheme="minorHAnsi"/>
          <w:b/>
          <w:iCs/>
          <w:sz w:val="24"/>
          <w:szCs w:val="24"/>
          <w:lang w:val="bg-BG"/>
        </w:rPr>
        <w:t>70 000 лв.</w:t>
      </w:r>
      <w:r w:rsidR="00FC66DC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</w:p>
    <w:p w:rsidR="00FC66DC" w:rsidRDefault="00FC66DC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 w:rsidRPr="00FC66DC">
        <w:rPr>
          <w:rFonts w:cstheme="minorHAnsi"/>
          <w:b/>
          <w:i/>
          <w:iCs/>
          <w:sz w:val="24"/>
          <w:szCs w:val="24"/>
          <w:lang w:val="bg-BG"/>
        </w:rPr>
        <w:t xml:space="preserve">Осигурено от кандидата </w:t>
      </w:r>
      <w:proofErr w:type="spellStart"/>
      <w:r w:rsidRPr="00FC66DC">
        <w:rPr>
          <w:rFonts w:cstheme="minorHAnsi"/>
          <w:b/>
          <w:i/>
          <w:iCs/>
          <w:sz w:val="24"/>
          <w:szCs w:val="24"/>
          <w:lang w:val="bg-BG"/>
        </w:rPr>
        <w:t>съ</w:t>
      </w:r>
      <w:proofErr w:type="spellEnd"/>
      <w:r w:rsidRPr="00FC66DC">
        <w:rPr>
          <w:rFonts w:cstheme="minorHAnsi"/>
          <w:b/>
          <w:i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FC66DC" w:rsidRPr="00FC66DC" w:rsidRDefault="00FC66DC" w:rsidP="00FC66D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FC66DC">
        <w:rPr>
          <w:rFonts w:asciiTheme="minorHAnsi" w:hAnsiTheme="minorHAnsi" w:cstheme="minorHAnsi"/>
          <w:i/>
          <w:color w:val="212121"/>
          <w:lang w:val="bg-BG"/>
        </w:rPr>
        <w:t>Първостепенни и второстепенни разпоредители с бюджет – юридически лица на Грузия;</w:t>
      </w:r>
    </w:p>
    <w:p w:rsidR="00FC66DC" w:rsidRPr="00FC66DC" w:rsidRDefault="00FC66DC" w:rsidP="00FC66D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FC66DC">
        <w:rPr>
          <w:rFonts w:asciiTheme="minorHAnsi" w:hAnsiTheme="minorHAnsi" w:cstheme="minorHAnsi"/>
          <w:i/>
          <w:color w:val="212121"/>
          <w:lang w:val="bg-BG"/>
        </w:rPr>
        <w:t xml:space="preserve">Международни и местни неправителствени организации; </w:t>
      </w:r>
    </w:p>
    <w:p w:rsidR="00FC66DC" w:rsidRPr="00FC66DC" w:rsidRDefault="00FC66DC" w:rsidP="00FC66D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FC66DC">
        <w:rPr>
          <w:rFonts w:asciiTheme="minorHAnsi" w:hAnsiTheme="minorHAnsi" w:cstheme="minorHAnsi"/>
          <w:i/>
          <w:color w:val="212121"/>
          <w:lang w:val="bg-BG"/>
        </w:rPr>
        <w:t>Общини и техни обединения;</w:t>
      </w:r>
    </w:p>
    <w:p w:rsidR="00FC66DC" w:rsidRPr="00FC66DC" w:rsidRDefault="00FC66DC" w:rsidP="00FC66D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FC66DC">
        <w:rPr>
          <w:rFonts w:asciiTheme="minorHAnsi" w:hAnsiTheme="minorHAnsi" w:cstheme="minorHAnsi"/>
          <w:i/>
          <w:color w:val="212121"/>
          <w:lang w:val="bg-BG"/>
        </w:rPr>
        <w:t xml:space="preserve">Образователни, здравни и социални институции; </w:t>
      </w:r>
    </w:p>
    <w:p w:rsidR="00FC66DC" w:rsidRPr="00FC66DC" w:rsidRDefault="00FC66DC" w:rsidP="00FC66D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FC66DC">
        <w:rPr>
          <w:rFonts w:asciiTheme="minorHAnsi" w:hAnsiTheme="minorHAnsi" w:cstheme="minorHAnsi"/>
          <w:i/>
          <w:color w:val="212121"/>
          <w:lang w:val="bg-BG"/>
        </w:rPr>
        <w:t>Международни хуманитарни организации;</w:t>
      </w:r>
    </w:p>
    <w:p w:rsidR="00FC66DC" w:rsidRPr="00FC66DC" w:rsidRDefault="00FC66DC" w:rsidP="00FC66D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FC66DC">
        <w:rPr>
          <w:rFonts w:asciiTheme="minorHAnsi" w:hAnsiTheme="minorHAnsi" w:cstheme="minorHAnsi"/>
          <w:i/>
          <w:color w:val="212121"/>
          <w:lang w:val="bg-BG"/>
        </w:rPr>
        <w:t xml:space="preserve">Други - </w:t>
      </w:r>
      <w:r w:rsidRPr="00FC66DC">
        <w:rPr>
          <w:rFonts w:asciiTheme="minorHAnsi" w:hAnsiTheme="minorHAnsi" w:cstheme="minorHAnsi"/>
          <w:i/>
          <w:color w:val="000000" w:themeColor="text1"/>
          <w:lang w:val="bg-BG"/>
        </w:rPr>
        <w:t>организации, допринасящи чрез дейностите си за утвърждаването на доброто име на Република България и развиващи дейност в областите, посочени в обявата.</w:t>
      </w:r>
      <w:r w:rsidRPr="00FC66DC">
        <w:rPr>
          <w:rFonts w:asciiTheme="minorHAnsi" w:hAnsiTheme="minorHAnsi" w:cstheme="minorHAnsi"/>
          <w:i/>
          <w:color w:val="212121"/>
          <w:lang w:val="bg-BG"/>
        </w:rPr>
        <w:t xml:space="preserve"> </w:t>
      </w:r>
    </w:p>
    <w:p w:rsidR="00FC66DC" w:rsidRDefault="00FC66DC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781184" w:rsidRPr="005A2A0D" w:rsidRDefault="00781184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A2A0D">
        <w:rPr>
          <w:rFonts w:eastAsia="Times New Roman" w:cstheme="minorHAnsi"/>
          <w:b/>
          <w:color w:val="212121"/>
          <w:sz w:val="24"/>
          <w:szCs w:val="24"/>
          <w:lang w:val="bg-BG"/>
        </w:rPr>
        <w:t>- „Насоките за публичност и видимост“ на българската „Помощ за развитие“ следва да</w:t>
      </w:r>
      <w:r w:rsidR="005A2A0D" w:rsidRPr="005A2A0D">
        <w:rPr>
          <w:rFonts w:eastAsia="Times New Roman" w:cstheme="minorHAnsi"/>
          <w:b/>
          <w:color w:val="212121"/>
          <w:sz w:val="24"/>
          <w:szCs w:val="24"/>
        </w:rPr>
        <w:t xml:space="preserve"> </w:t>
      </w:r>
      <w:r w:rsidRPr="005A2A0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се прилагат при реализирането на всички проекти 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</w:t>
      </w:r>
      <w:r w:rsidRPr="00781184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общество, медиите и повишаване на приноса му за социалната справедливост, демокрацията и устойчивото развитие, например: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>- Разработване на нови/осъвременяване на съществуващи обучителни модули, изследвания и стратегии и финансиране на обмен в сферата на образованието;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>- Провеждане на обучения по конкретни теми в български институции, с цел предаване на добри практики и повишаване на квалификацията на представителите на страната-партньор.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 xml:space="preserve">- Организиране и провеждане на обучения за </w:t>
      </w:r>
      <w:proofErr w:type="spellStart"/>
      <w:r w:rsidRPr="00781184">
        <w:rPr>
          <w:rFonts w:eastAsia="Times New Roman" w:cstheme="minorHAnsi"/>
          <w:color w:val="212121"/>
          <w:sz w:val="24"/>
          <w:szCs w:val="24"/>
        </w:rPr>
        <w:t>представители</w:t>
      </w:r>
      <w:proofErr w:type="spellEnd"/>
      <w:r w:rsidRPr="00781184">
        <w:rPr>
          <w:rFonts w:eastAsia="Times New Roman" w:cstheme="minorHAnsi"/>
          <w:color w:val="212121"/>
          <w:sz w:val="24"/>
          <w:szCs w:val="24"/>
        </w:rPr>
        <w:t xml:space="preserve"> на</w:t>
      </w: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 xml:space="preserve"> Грузия в сектора на образованието, медиите и пр.;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>- Изграждане на свързана с приоритетните области инфраструктура;</w:t>
      </w:r>
    </w:p>
    <w:p w:rsidR="005C594D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 xml:space="preserve">- Дейности за повишаване на информираността за правата на гражданите и повишаване на достъпа до </w:t>
      </w:r>
      <w:proofErr w:type="spellStart"/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>инклузивно</w:t>
      </w:r>
      <w:proofErr w:type="spellEnd"/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 xml:space="preserve"> и качествено образование, както и изграждане на демократично общество;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 xml:space="preserve"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>- Дейности за подобряване на диалога между неправителствените организации и местните, регионалните и националните власти.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b/>
          <w:color w:val="212121"/>
          <w:sz w:val="24"/>
          <w:szCs w:val="24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 xml:space="preserve">- 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781184" w:rsidRPr="00781184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781184">
        <w:rPr>
          <w:rFonts w:eastAsia="Times New Roman" w:cstheme="minorHAnsi"/>
          <w:color w:val="212121"/>
          <w:sz w:val="24"/>
          <w:szCs w:val="24"/>
          <w:lang w:val="bg-BG"/>
        </w:rPr>
        <w:t>- Строителни работи за подобряване на обекти  държавна или общинска собственост – училища, болници, детски градини и т.н.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781184">
        <w:rPr>
          <w:rFonts w:cstheme="minorHAnsi"/>
          <w:color w:val="212121"/>
          <w:lang w:val="ru-RU"/>
        </w:rPr>
        <w:t>Грузия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781184" w:rsidRPr="00F71A0E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Проектните предложения, с приложена документация към тях, следва да с</w:t>
      </w:r>
      <w:r w:rsidR="00F71A0E"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е изпращат в срок до 30 юни 2022</w:t>
      </w:r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г. по следните начини:</w:t>
      </w:r>
    </w:p>
    <w:p w:rsidR="00781184" w:rsidRPr="00F71A0E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По електронна поща на адрес</w:t>
      </w:r>
      <w:r w:rsidRPr="00F71A0E">
        <w:rPr>
          <w:rFonts w:eastAsia="Times New Roman" w:cstheme="minorHAnsi"/>
          <w:i/>
          <w:color w:val="212121"/>
          <w:sz w:val="24"/>
          <w:szCs w:val="24"/>
        </w:rPr>
        <w:t>:</w:t>
      </w:r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hyperlink r:id="rId10" w:history="1">
        <w:r w:rsidRPr="00F71A0E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Bulgarian.Development.Aid.Tbilisi@mfa.bg</w:t>
        </w:r>
      </w:hyperlink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с копие до </w:t>
      </w:r>
      <w:hyperlink r:id="rId11" w:history="1">
        <w:r w:rsidRPr="00F71A0E">
          <w:rPr>
            <w:rFonts w:eastAsia="Times New Roman" w:cstheme="minorHAnsi"/>
            <w:i/>
            <w:color w:val="0000FF"/>
            <w:sz w:val="24"/>
            <w:szCs w:val="24"/>
            <w:u w:val="single"/>
            <w:lang w:eastAsia="bg-BG"/>
          </w:rPr>
          <w:t>Iliya.Nachev@mfa.bg</w:t>
        </w:r>
      </w:hyperlink>
      <w:r w:rsidRPr="00F71A0E">
        <w:rPr>
          <w:rFonts w:eastAsia="Times New Roman" w:cstheme="minorHAnsi"/>
          <w:i/>
          <w:color w:val="0000FF"/>
          <w:sz w:val="24"/>
          <w:szCs w:val="24"/>
          <w:lang w:val="bg-BG" w:eastAsia="bg-BG"/>
        </w:rPr>
        <w:t xml:space="preserve"> </w:t>
      </w:r>
      <w:r w:rsidRPr="00F71A0E">
        <w:rPr>
          <w:rFonts w:eastAsia="Times New Roman" w:cstheme="minorHAnsi"/>
          <w:i/>
          <w:sz w:val="24"/>
          <w:szCs w:val="24"/>
          <w:lang w:val="bg-BG" w:eastAsia="bg-BG"/>
        </w:rPr>
        <w:t>и</w:t>
      </w:r>
      <w:r w:rsidRPr="00F71A0E">
        <w:rPr>
          <w:rFonts w:eastAsia="Times New Roman" w:cstheme="minorHAnsi"/>
          <w:i/>
          <w:color w:val="0000FF"/>
          <w:sz w:val="24"/>
          <w:szCs w:val="24"/>
          <w:lang w:val="bg-BG" w:eastAsia="bg-BG"/>
        </w:rPr>
        <w:t xml:space="preserve"> </w:t>
      </w:r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hyperlink r:id="rId12" w:history="1">
        <w:r w:rsidRPr="00F71A0E">
          <w:rPr>
            <w:rStyle w:val="Hyperlink"/>
            <w:rFonts w:eastAsia="Times New Roman" w:cstheme="minorHAnsi"/>
            <w:i/>
            <w:sz w:val="24"/>
            <w:szCs w:val="24"/>
          </w:rPr>
          <w:t>Ralitsa.Dimitrova@mfa.bg</w:t>
        </w:r>
      </w:hyperlink>
    </w:p>
    <w:p w:rsidR="00781184" w:rsidRPr="00F71A0E" w:rsidRDefault="00781184" w:rsidP="0078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Или по пощенски път на адрес: Embassy </w:t>
      </w:r>
      <w:proofErr w:type="spellStart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the</w:t>
      </w:r>
      <w:proofErr w:type="spellEnd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Republic </w:t>
      </w:r>
      <w:proofErr w:type="spellStart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Bulgaria</w:t>
      </w:r>
      <w:proofErr w:type="spellEnd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in Georgia, 15, Vakhtang </w:t>
      </w:r>
      <w:proofErr w:type="spellStart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Gorgasali</w:t>
      </w:r>
      <w:proofErr w:type="spellEnd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Lane</w:t>
      </w:r>
      <w:proofErr w:type="spellEnd"/>
      <w:r w:rsidRPr="00F71A0E">
        <w:rPr>
          <w:rFonts w:eastAsia="Times New Roman" w:cstheme="minorHAnsi"/>
          <w:i/>
          <w:color w:val="212121"/>
          <w:sz w:val="24"/>
          <w:szCs w:val="24"/>
          <w:lang w:val="bg-BG"/>
        </w:rPr>
        <w:t>, 0105 Tbilisi, Georgia;</w:t>
      </w:r>
    </w:p>
    <w:p w:rsidR="005C594D" w:rsidRPr="00F71A0E" w:rsidRDefault="00781184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F71A0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Проектните предложения трябва да бъдат изпратени в отделен </w:t>
      </w:r>
      <w:proofErr w:type="spellStart"/>
      <w:r w:rsidRPr="00F71A0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pdf</w:t>
      </w:r>
      <w:proofErr w:type="spellEnd"/>
      <w:r w:rsidRPr="00F71A0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файл, както и в </w:t>
      </w:r>
      <w:proofErr w:type="spellStart"/>
      <w:r w:rsidRPr="00F71A0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word</w:t>
      </w:r>
      <w:proofErr w:type="spellEnd"/>
      <w:r w:rsidRPr="00F71A0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формат.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C6297" w:rsidRPr="00BC6799" w:rsidRDefault="003667E0" w:rsidP="0078118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076984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>П</w:t>
      </w:r>
      <w:bookmarkStart w:id="0" w:name="_GoBack"/>
      <w:bookmarkEnd w:id="0"/>
      <w:r w:rsidR="00076984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>осолството</w:t>
      </w:r>
      <w:r w:rsidR="00BC6799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на Република България в Грузия </w:t>
      </w:r>
      <w:r w:rsidR="001445D1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постъпилите </w:t>
      </w:r>
      <w:r w:rsidR="001445D1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>проектн</w:t>
      </w:r>
      <w:r w:rsidR="00E617EB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>и</w:t>
      </w:r>
      <w:r w:rsidR="001445D1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предложени</w:t>
      </w:r>
      <w:r w:rsidR="00E617EB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>я</w:t>
      </w:r>
      <w:r w:rsidR="001445D1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BC6297" w:rsidRPr="00BC6799">
        <w:rPr>
          <w:rFonts w:eastAsia="Times New Roman" w:cstheme="minorHAnsi"/>
          <w:b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</w:t>
      </w: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3B2D5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(7) </w:t>
      </w:r>
      <w:r w:rsidRPr="003B2D5D">
        <w:rPr>
          <w:rFonts w:cstheme="minorHAnsi"/>
          <w:b/>
          <w:sz w:val="24"/>
          <w:szCs w:val="24"/>
          <w:lang w:val="ru-RU"/>
        </w:rPr>
        <w:t>Не могат да кандидатстват за участие в предоставянето на помощ за развитие лица</w:t>
      </w:r>
      <w:r w:rsidRPr="003B2D5D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3B2D5D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3B2D5D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3B2D5D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61" w:rsidRDefault="00687461" w:rsidP="003E46F1">
      <w:pPr>
        <w:spacing w:after="0" w:line="240" w:lineRule="auto"/>
      </w:pPr>
      <w:r>
        <w:separator/>
      </w:r>
    </w:p>
  </w:endnote>
  <w:endnote w:type="continuationSeparator" w:id="0">
    <w:p w:rsidR="00687461" w:rsidRDefault="00687461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78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184" w:rsidRDefault="007811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7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1184" w:rsidRDefault="00781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61" w:rsidRDefault="00687461" w:rsidP="003E46F1">
      <w:pPr>
        <w:spacing w:after="0" w:line="240" w:lineRule="auto"/>
      </w:pPr>
      <w:r>
        <w:separator/>
      </w:r>
    </w:p>
  </w:footnote>
  <w:footnote w:type="continuationSeparator" w:id="0">
    <w:p w:rsidR="00687461" w:rsidRDefault="00687461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9C2"/>
    <w:rsid w:val="000D6E7C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2D5D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94D41"/>
    <w:rsid w:val="004A5F20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2A0D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87461"/>
    <w:rsid w:val="00695619"/>
    <w:rsid w:val="006D0F40"/>
    <w:rsid w:val="006D3A0D"/>
    <w:rsid w:val="00705933"/>
    <w:rsid w:val="0071166B"/>
    <w:rsid w:val="00754B52"/>
    <w:rsid w:val="00773F2E"/>
    <w:rsid w:val="00781184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46EB9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C6799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77995"/>
    <w:rsid w:val="00D9501B"/>
    <w:rsid w:val="00DA3B03"/>
    <w:rsid w:val="00DC0ACF"/>
    <w:rsid w:val="00DE3405"/>
    <w:rsid w:val="00E03127"/>
    <w:rsid w:val="00E22FA3"/>
    <w:rsid w:val="00E321D4"/>
    <w:rsid w:val="00E32A87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45C3"/>
    <w:rsid w:val="00F11136"/>
    <w:rsid w:val="00F13F23"/>
    <w:rsid w:val="00F704BA"/>
    <w:rsid w:val="00F71A0E"/>
    <w:rsid w:val="00F75440"/>
    <w:rsid w:val="00F810C5"/>
    <w:rsid w:val="00F87627"/>
    <w:rsid w:val="00F90922"/>
    <w:rsid w:val="00F937AE"/>
    <w:rsid w:val="00FA0899"/>
    <w:rsid w:val="00FB048A"/>
    <w:rsid w:val="00FB43BE"/>
    <w:rsid w:val="00FC66D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1F23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84"/>
  </w:style>
  <w:style w:type="paragraph" w:styleId="Footer">
    <w:name w:val="footer"/>
    <w:basedOn w:val="Normal"/>
    <w:link w:val="FooterChar"/>
    <w:uiPriority w:val="99"/>
    <w:unhideWhenUsed/>
    <w:rsid w:val="0078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litsa.Dimitrova@mf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ya.Nachev@mfa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lgarian.Development.Aid.Tbilisi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90101C6-69A0-47BA-B411-7A6FA8BD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Потребител на Windows</cp:lastModifiedBy>
  <cp:revision>5</cp:revision>
  <cp:lastPrinted>2019-03-21T14:53:00Z</cp:lastPrinted>
  <dcterms:created xsi:type="dcterms:W3CDTF">2022-05-16T08:11:00Z</dcterms:created>
  <dcterms:modified xsi:type="dcterms:W3CDTF">2022-05-16T08:30:00Z</dcterms:modified>
</cp:coreProperties>
</file>