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23" w:rsidRPr="00A86816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  <w:lang w:val="bg-B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Министерство на външните работи на Република България чрез Посолството на Република България в </w:t>
      </w:r>
      <w:r w:rsidR="00C41CC3" w:rsidRPr="00C41CC3">
        <w:rPr>
          <w:sz w:val="24"/>
          <w:szCs w:val="24"/>
          <w:lang w:val="ru-RU"/>
        </w:rPr>
        <w:t>Република Албания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C41CC3" w:rsidRPr="00C41CC3">
        <w:rPr>
          <w:rStyle w:val="tlid-translation"/>
          <w:b/>
          <w:sz w:val="24"/>
          <w:szCs w:val="24"/>
          <w:lang w:val="ru-RU"/>
        </w:rPr>
        <w:t>Република Албания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Защита и гарантиране правата на човека със специално внимание към децата, хората с увреждания и други уязвими групи, както и правата на националните малцинства като ключов елемент за развитието на модерно общество;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Устойчиво управление на природните ресурси, защитата на природата и намаляване на последиците от климатичните промени;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Подкрепа за осигуряване на универсално здравно покритие и достъп до качествени здравни услуги</w:t>
      </w:r>
    </w:p>
    <w:p w:rsidR="001D4F9E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ab/>
        <w:t>Осигуряване на приобщаващо и качествено образование и подобряване на училищната инфраструктура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Укрепване на върховенството на закона;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Опазване на околната среда и устойчиво управление на природните ресурси;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Изграждане на административен капацитет за местно самоуправление и подпомагане на демократичните реформи;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Защита на правата на човека и спазване на правата на малцинствата;</w:t>
      </w:r>
    </w:p>
    <w:p w:rsidR="001D4F9E" w:rsidRPr="00837C58" w:rsidRDefault="000E5ED3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Повишаването на качеството на образование и подобряване на училищната инфраструктура.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държавна администрация и местна власт;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неправителствения сектор;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образователни институции;</w:t>
      </w:r>
    </w:p>
    <w:p w:rsidR="001D4F9E" w:rsidRPr="00837C58" w:rsidRDefault="000E5ED3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сдружения и организации.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Подобряване на социално-икономическото развитие и доброто управление в Република Албания;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Повишаване върховенството на закона и демократизация на институциите;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Подпомагане на усилията за опазване на околната среда;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Намаляване на бедността;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Задълбочаване на взаимодействието между институциите на централно, регионално и местно ниво;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Защита на правата на човека и мултикултурния диалог;</w:t>
      </w:r>
    </w:p>
    <w:p w:rsidR="001D4F9E" w:rsidRPr="00837C58" w:rsidRDefault="000E5ED3" w:rsidP="002C0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Утвърждаване на доброто име и международния авторитет на Република България.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Минималната </w:t>
      </w:r>
      <w:r w:rsidR="000E5ED3">
        <w:rPr>
          <w:rFonts w:eastAsia="Times New Roman" w:cstheme="minorHAnsi"/>
          <w:iCs/>
          <w:sz w:val="24"/>
          <w:szCs w:val="24"/>
          <w:lang w:val="bg-BG"/>
        </w:rPr>
        <w:t xml:space="preserve">допустима стойност на проект е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3D6175" w:rsidRDefault="003D6175" w:rsidP="000E5ED3">
      <w:pPr>
        <w:shd w:val="clear" w:color="auto" w:fill="FFFFFF"/>
        <w:spacing w:after="0" w:line="240" w:lineRule="auto"/>
        <w:jc w:val="both"/>
        <w:rPr>
          <w:rFonts w:cstheme="minorHAnsi"/>
          <w:iCs/>
          <w:lang w:val="bg-BG"/>
        </w:rPr>
      </w:pPr>
    </w:p>
    <w:p w:rsidR="001B1E0A" w:rsidRP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6810BF" w:rsidRPr="00837C58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6810BF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837C58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E2175" w:rsidRPr="00837C58" w:rsidRDefault="00837C58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837C58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0B48F1" w:rsidRDefault="003D6175" w:rsidP="00C41CC3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212121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0B48F1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C41CC3" w:rsidRPr="00C41CC3">
        <w:rPr>
          <w:rFonts w:asciiTheme="minorHAnsi" w:hAnsiTheme="minorHAnsi" w:cstheme="minorHAnsi"/>
          <w:color w:val="212121"/>
          <w:lang w:val="ru-RU"/>
        </w:rPr>
        <w:t>Република Албания</w:t>
      </w:r>
      <w:r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0B48F1" w:rsidRDefault="0035178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0B48F1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9F1DF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0B48F1" w:rsidRDefault="00675165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0B48F1">
        <w:rPr>
          <w:rFonts w:asciiTheme="minorHAnsi" w:hAnsiTheme="minorHAnsi" w:cstheme="minorHAnsi"/>
          <w:color w:val="212121"/>
          <w:lang w:val="bg-BG"/>
        </w:rPr>
        <w:t>;</w:t>
      </w:r>
      <w:r w:rsidRPr="000B48F1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0B48F1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0B48F1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0B48F1" w:rsidRDefault="000B48F1" w:rsidP="0035178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asciiTheme="minorHAnsi" w:hAnsiTheme="minorHAnsi" w:cstheme="minorHAnsi"/>
          <w:color w:val="FF0000"/>
          <w:lang w:val="bg-BG"/>
        </w:rPr>
      </w:pPr>
      <w:r w:rsidRPr="000B48F1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руги</w:t>
      </w:r>
      <w:r>
        <w:rPr>
          <w:rFonts w:asciiTheme="minorHAnsi" w:hAnsiTheme="minorHAnsi" w:cstheme="minorHAnsi"/>
          <w:color w:val="212121"/>
          <w:lang w:val="bg-BG"/>
        </w:rPr>
        <w:t xml:space="preserve"> (в зависимост от спецификата на страната)</w:t>
      </w:r>
      <w:r w:rsidR="00644B8E" w:rsidRPr="000B48F1">
        <w:rPr>
          <w:rFonts w:asciiTheme="minorHAnsi" w:hAnsiTheme="minorHAnsi" w:cstheme="minorHAnsi"/>
          <w:color w:val="212121"/>
          <w:lang w:val="bg-BG"/>
        </w:rPr>
        <w:t>.</w:t>
      </w:r>
    </w:p>
    <w:p w:rsidR="00D744CA" w:rsidRPr="00D744CA" w:rsidRDefault="00D744CA" w:rsidP="00CB533B">
      <w:pPr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lastRenderedPageBreak/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D744CA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1D4F9E" w:rsidRDefault="00403775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403775" w:rsidRPr="00837C58" w:rsidRDefault="002F11F3" w:rsidP="0040377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40377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1D4F9E">
        <w:rPr>
          <w:lang w:val="ru-RU"/>
        </w:rPr>
        <w:t xml:space="preserve"> </w:t>
      </w:r>
      <w:r w:rsidR="005C03E0">
        <w:rPr>
          <w:lang w:val="bg-BG"/>
        </w:rPr>
        <w:t xml:space="preserve">и да отговарят на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 и </w:t>
      </w:r>
      <w:r w:rsidR="005C03E0" w:rsidRPr="005C03E0">
        <w:rPr>
          <w:rFonts w:eastAsia="Times New Roman" w:cstheme="minorHAnsi"/>
          <w:color w:val="212121"/>
          <w:sz w:val="24"/>
          <w:szCs w:val="24"/>
          <w:lang w:val="bg-BG"/>
        </w:rPr>
        <w:t>прозрачност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да са извършени срещу необходимите </w:t>
      </w:r>
      <w:proofErr w:type="spellStart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разходооправдателни</w:t>
      </w:r>
      <w:proofErr w:type="spellEnd"/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документи -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837C58" w:rsidRDefault="00403775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BB139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837C58" w:rsidRDefault="00D26713" w:rsidP="00BB1393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837C58" w:rsidRDefault="00D26713" w:rsidP="00A200EF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837C58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1D4F9E">
        <w:rPr>
          <w:lang w:val="ru-RU"/>
        </w:rPr>
        <w:t xml:space="preserve"> 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</w:t>
      </w:r>
      <w:r w:rsidR="001B1E0A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проекта</w:t>
      </w:r>
      <w:r w:rsidR="001B1E0A" w:rsidRPr="001B1E0A">
        <w:rPr>
          <w:rFonts w:eastAsia="Times New Roman" w:cstheme="minorHAnsi"/>
          <w:color w:val="212121"/>
          <w:sz w:val="24"/>
          <w:szCs w:val="24"/>
          <w:lang w:val="bg-BG"/>
        </w:rPr>
        <w:t>, но не повече от 5 хиляди лева</w:t>
      </w:r>
      <w:r w:rsidR="00BD2320" w:rsidRPr="00837C58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837C58" w:rsidRDefault="002F11F3" w:rsidP="00B93894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1. Дейности, допринасящи за укрепване на публичните институции в Република Албания,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например: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нови/осъвременяване на съществуващи обучителни модули;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Организиране и провеждане на обучения (в т.ч. обучения по конкретни теми в български институции за обмен на добри практики) за повишаване на квалификацията на служителите от администрацията на Република Албания;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Разработване на изследвания и стратегии.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Дейности за повишаване на информираността за правата на гражданите;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 xml:space="preserve">Дейности за и за ограничаване на расизма, ксенофобията, словото на омраза, дискриминацията и нетърпимостта в обществото; 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2. 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например: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 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Строителни работи за подобряване на обекти държавна или общинска собственост – училища, болници, детски градини, домове за стари хора и т.н.</w:t>
      </w:r>
    </w:p>
    <w:p w:rsidR="000E5ED3" w:rsidRPr="000E5ED3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3. Подкрепа за развитие на общините за европейско сближаване; </w:t>
      </w:r>
    </w:p>
    <w:p w:rsidR="005C594D" w:rsidRDefault="000E5ED3" w:rsidP="000E5E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>4. Споделяне на добри практики в областта на устойчивото управление на природните ресурси, използване на възобновяеми източници на енергия, защитата на околната среда, осъзнаване на последиците от климатичните промени и борба с тях;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1D4F9E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https://www.mfa.bg/bg/3865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C41CC3" w:rsidRPr="00C41CC3">
        <w:rPr>
          <w:rFonts w:cstheme="minorHAnsi"/>
          <w:color w:val="212121"/>
          <w:lang w:val="ru-RU"/>
        </w:rPr>
        <w:t>Република Албания</w:t>
      </w:r>
      <w:r w:rsidR="005C594D" w:rsidRPr="005C594D">
        <w:rPr>
          <w:rFonts w:cstheme="minorHAnsi"/>
          <w:color w:val="212121"/>
          <w:lang w:val="ru-RU"/>
        </w:rPr>
        <w:t xml:space="preserve">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5C594D" w:rsidRPr="00837C58" w:rsidRDefault="000E5ED3" w:rsidP="00D475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Проектните предложения следва да бъдат подадени по </w:t>
      </w:r>
      <w:r w:rsid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>пощата на адреса на Посолството (</w:t>
      </w:r>
      <w:r w:rsidR="004E6EB2" w:rsidRP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>гр. Тирана, ул. „</w:t>
      </w:r>
      <w:proofErr w:type="spellStart"/>
      <w:r w:rsidR="004E6EB2" w:rsidRP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>Скендербег</w:t>
      </w:r>
      <w:proofErr w:type="spellEnd"/>
      <w:r w:rsidR="004E6EB2" w:rsidRP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>“ 12</w:t>
      </w:r>
      <w:r w:rsid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>), както и да бъдат изпратени по електронен</w:t>
      </w:r>
      <w:r w:rsidR="002074D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път (подписани и подпечатани </w:t>
      </w:r>
      <w:r w:rsidR="004E6EB2" w:rsidRP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във формат </w:t>
      </w:r>
      <w:proofErr w:type="spellStart"/>
      <w:r w:rsidR="004E6EB2">
        <w:rPr>
          <w:rFonts w:eastAsia="Times New Roman" w:cstheme="minorHAnsi"/>
          <w:i/>
          <w:color w:val="212121"/>
          <w:sz w:val="24"/>
          <w:szCs w:val="24"/>
        </w:rPr>
        <w:t>name_of_the_pro</w:t>
      </w:r>
      <w:r w:rsidR="002074D5">
        <w:rPr>
          <w:rFonts w:eastAsia="Times New Roman" w:cstheme="minorHAnsi"/>
          <w:i/>
          <w:color w:val="212121"/>
          <w:sz w:val="24"/>
          <w:szCs w:val="24"/>
        </w:rPr>
        <w:t>j</w:t>
      </w:r>
      <w:r w:rsidR="004E6EB2">
        <w:rPr>
          <w:rFonts w:eastAsia="Times New Roman" w:cstheme="minorHAnsi"/>
          <w:i/>
          <w:color w:val="212121"/>
          <w:sz w:val="24"/>
          <w:szCs w:val="24"/>
        </w:rPr>
        <w:t>ect</w:t>
      </w:r>
      <w:proofErr w:type="spellEnd"/>
      <w:r w:rsidR="004E6EB2">
        <w:rPr>
          <w:rFonts w:eastAsia="Times New Roman" w:cstheme="minorHAnsi"/>
          <w:i/>
          <w:color w:val="212121"/>
          <w:sz w:val="24"/>
          <w:szCs w:val="24"/>
        </w:rPr>
        <w:t>.</w:t>
      </w:r>
      <w:proofErr w:type="spellStart"/>
      <w:r w:rsidR="004E6EB2" w:rsidRP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>pdf</w:t>
      </w:r>
      <w:proofErr w:type="spellEnd"/>
      <w:r w:rsid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>, както</w:t>
      </w:r>
      <w:r w:rsidR="004E6EB2" w:rsidRP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и </w:t>
      </w:r>
      <w:r w:rsidR="002074D5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във </w:t>
      </w:r>
      <w:r w:rsidR="004E6EB2" w:rsidRP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>формат</w:t>
      </w:r>
      <w:r w:rsidR="004E6EB2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="004E6EB2" w:rsidRPr="004E6EB2">
        <w:rPr>
          <w:rFonts w:eastAsia="Times New Roman" w:cstheme="minorHAnsi"/>
          <w:i/>
          <w:color w:val="212121"/>
          <w:sz w:val="24"/>
          <w:szCs w:val="24"/>
        </w:rPr>
        <w:t>name_of_the_pro</w:t>
      </w:r>
      <w:r w:rsidR="002074D5">
        <w:rPr>
          <w:rFonts w:eastAsia="Times New Roman" w:cstheme="minorHAnsi"/>
          <w:i/>
          <w:color w:val="212121"/>
          <w:sz w:val="24"/>
          <w:szCs w:val="24"/>
        </w:rPr>
        <w:t>j</w:t>
      </w:r>
      <w:r w:rsidR="004E6EB2" w:rsidRPr="004E6EB2">
        <w:rPr>
          <w:rFonts w:eastAsia="Times New Roman" w:cstheme="minorHAnsi"/>
          <w:i/>
          <w:color w:val="212121"/>
          <w:sz w:val="24"/>
          <w:szCs w:val="24"/>
        </w:rPr>
        <w:t>ect.</w:t>
      </w:r>
      <w:r w:rsidR="005F077A" w:rsidRPr="005F077A">
        <w:rPr>
          <w:rFonts w:eastAsia="Times New Roman" w:cstheme="minorHAnsi"/>
          <w:i/>
          <w:color w:val="212121"/>
          <w:sz w:val="24"/>
          <w:szCs w:val="24"/>
        </w:rPr>
        <w:t>doc/</w:t>
      </w:r>
      <w:proofErr w:type="spellStart"/>
      <w:r w:rsidR="005F077A" w:rsidRPr="005F077A">
        <w:rPr>
          <w:rFonts w:eastAsia="Times New Roman" w:cstheme="minorHAnsi"/>
          <w:i/>
          <w:color w:val="212121"/>
          <w:sz w:val="24"/>
          <w:szCs w:val="24"/>
        </w:rPr>
        <w:t>docx</w:t>
      </w:r>
      <w:proofErr w:type="spellEnd"/>
      <w:r w:rsid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>)</w:t>
      </w:r>
      <w:r w:rsidR="004E6EB2">
        <w:rPr>
          <w:rFonts w:eastAsia="Times New Roman" w:cstheme="minorHAnsi"/>
          <w:i/>
          <w:color w:val="212121"/>
          <w:sz w:val="24"/>
          <w:szCs w:val="24"/>
        </w:rPr>
        <w:t xml:space="preserve"> </w:t>
      </w:r>
      <w:r w:rsid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на </w:t>
      </w:r>
      <w:hyperlink r:id="rId10" w:history="1">
        <w:r w:rsidR="00CA35E9" w:rsidRPr="00D821E8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Embassy.Tirana@mfa.bg</w:t>
        </w:r>
      </w:hyperlink>
      <w:r w:rsidR="00CA35E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 w:rsid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>в срок до</w:t>
      </w:r>
      <w:r w:rsidR="00CA35E9">
        <w:rPr>
          <w:rFonts w:eastAsia="Times New Roman" w:cstheme="minorHAnsi"/>
          <w:i/>
          <w:color w:val="212121"/>
          <w:sz w:val="24"/>
          <w:szCs w:val="24"/>
          <w:lang w:val="sq-AL"/>
        </w:rPr>
        <w:t xml:space="preserve"> 12</w:t>
      </w:r>
      <w:r w:rsidR="00CA35E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ч. </w:t>
      </w:r>
      <w:r w:rsidR="00CA35E9" w:rsidRPr="00CA35E9">
        <w:rPr>
          <w:rFonts w:eastAsia="Times New Roman" w:cstheme="minorHAnsi"/>
          <w:i/>
          <w:color w:val="212121"/>
          <w:sz w:val="24"/>
          <w:szCs w:val="24"/>
          <w:lang w:val="bg-BG"/>
        </w:rPr>
        <w:t>CEST</w:t>
      </w:r>
      <w:r w:rsidR="00CA35E9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на</w:t>
      </w:r>
      <w:r w:rsidR="004E6EB2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3</w:t>
      </w: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0 </w:t>
      </w:r>
      <w:r w:rsidR="005501BA">
        <w:rPr>
          <w:rFonts w:eastAsia="Times New Roman" w:cstheme="minorHAnsi"/>
          <w:i/>
          <w:color w:val="212121"/>
          <w:sz w:val="24"/>
          <w:szCs w:val="24"/>
          <w:lang w:val="bg-BG"/>
        </w:rPr>
        <w:t>юни</w:t>
      </w: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2021</w:t>
      </w:r>
      <w:r w:rsidRPr="000E5ED3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г.;</w:t>
      </w:r>
      <w:bookmarkStart w:id="0" w:name="_GoBack"/>
      <w:bookmarkEnd w:id="0"/>
    </w:p>
    <w:p w:rsidR="00896D8E" w:rsidRPr="001D4F9E" w:rsidRDefault="00896D8E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494D41" w:rsidRDefault="003667E0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 на Република България в </w:t>
      </w:r>
      <w:r w:rsidR="00C41CC3" w:rsidRPr="00C41CC3">
        <w:rPr>
          <w:rFonts w:eastAsia="Times New Roman" w:cstheme="minorHAnsi"/>
          <w:color w:val="212121"/>
          <w:sz w:val="24"/>
          <w:szCs w:val="24"/>
          <w:lang w:val="bg-BG"/>
        </w:rPr>
        <w:t>Република Албания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C41CC3" w:rsidRDefault="00C41CC3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</w:p>
    <w:p w:rsidR="00BC6297" w:rsidRPr="00BC6297" w:rsidRDefault="00BC6297" w:rsidP="00F7544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lang w:val="bg-BG"/>
        </w:rPr>
      </w:pPr>
      <w:r w:rsidRPr="00BC6297">
        <w:rPr>
          <w:b/>
          <w:sz w:val="24"/>
          <w:szCs w:val="24"/>
          <w:lang w:val="bg-BG"/>
        </w:rPr>
        <w:t>Приложение 1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1D4F9E">
        <w:rPr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>
        <w:rPr>
          <w:b/>
          <w:sz w:val="24"/>
          <w:szCs w:val="24"/>
          <w:lang w:val="bg-BG"/>
        </w:rPr>
        <w:t xml:space="preserve"> (извадки)</w:t>
      </w:r>
    </w:p>
    <w:p w:rsidR="00F75440" w:rsidRPr="00BC6297" w:rsidRDefault="00F75440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ru-RU"/>
        </w:rPr>
      </w:pPr>
      <w:r w:rsidRPr="00BC6297">
        <w:rPr>
          <w:b/>
          <w:sz w:val="24"/>
          <w:szCs w:val="24"/>
          <w:lang w:val="bg-BG"/>
        </w:rPr>
        <w:t>Чл.23</w:t>
      </w:r>
      <w:r w:rsidRPr="001D4F9E">
        <w:rPr>
          <w:sz w:val="24"/>
          <w:szCs w:val="24"/>
          <w:lang w:val="ru-RU"/>
        </w:rPr>
        <w:t>(</w:t>
      </w:r>
      <w:r w:rsidRPr="001D4F9E">
        <w:rPr>
          <w:b/>
          <w:sz w:val="24"/>
          <w:szCs w:val="24"/>
          <w:lang w:val="ru-RU"/>
        </w:rPr>
        <w:t>3</w:t>
      </w:r>
      <w:r w:rsidRPr="001D4F9E">
        <w:rPr>
          <w:sz w:val="24"/>
          <w:szCs w:val="24"/>
          <w:lang w:val="ru-RU"/>
        </w:rPr>
        <w:t xml:space="preserve">) </w:t>
      </w:r>
      <w:r w:rsidRPr="001D4F9E">
        <w:rPr>
          <w:rFonts w:cs="Verdana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ru-RU"/>
        </w:rPr>
      </w:pPr>
    </w:p>
    <w:p w:rsidR="00BC6297" w:rsidRPr="00BC6297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</w:rPr>
      </w:pPr>
      <w:r w:rsidRPr="00BC6297">
        <w:rPr>
          <w:rFonts w:cs="Verdana"/>
          <w:sz w:val="24"/>
          <w:szCs w:val="24"/>
        </w:rPr>
        <w:t xml:space="preserve">е </w:t>
      </w:r>
      <w:proofErr w:type="spellStart"/>
      <w:r w:rsidRPr="00BC6297">
        <w:rPr>
          <w:rFonts w:cs="Verdana"/>
          <w:sz w:val="24"/>
          <w:szCs w:val="24"/>
        </w:rPr>
        <w:t>обявено</w:t>
      </w:r>
      <w:proofErr w:type="spellEnd"/>
      <w:r w:rsidRPr="00BC6297">
        <w:rPr>
          <w:rFonts w:cs="Verdana"/>
          <w:sz w:val="24"/>
          <w:szCs w:val="24"/>
        </w:rPr>
        <w:t xml:space="preserve"> в </w:t>
      </w:r>
      <w:proofErr w:type="spellStart"/>
      <w:r w:rsidRPr="00BC6297">
        <w:rPr>
          <w:rFonts w:cs="Verdana"/>
          <w:sz w:val="24"/>
          <w:szCs w:val="24"/>
        </w:rPr>
        <w:t>несъстоятелност</w:t>
      </w:r>
      <w:proofErr w:type="spellEnd"/>
      <w:r w:rsidRPr="00BC6297">
        <w:rPr>
          <w:rFonts w:cs="Verdana"/>
          <w:sz w:val="24"/>
          <w:szCs w:val="24"/>
        </w:rPr>
        <w:t xml:space="preserve">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1D4F9E" w:rsidRDefault="00BC6297" w:rsidP="00F75440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1D4F9E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F75440" w:rsidRDefault="00BC6297" w:rsidP="00F75440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ru-RU"/>
        </w:rPr>
      </w:pPr>
      <w:r w:rsidRPr="00F75440">
        <w:rPr>
          <w:rFonts w:cs="Verdana"/>
          <w:sz w:val="24"/>
          <w:szCs w:val="24"/>
          <w:lang w:val="ru-RU"/>
        </w:rPr>
        <w:lastRenderedPageBreak/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</w:p>
    <w:p w:rsidR="00BC6297" w:rsidRPr="001D4F9E" w:rsidRDefault="00BC6297" w:rsidP="00BC629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ru-RU"/>
        </w:rPr>
      </w:pPr>
      <w:r w:rsidRPr="001D4F9E">
        <w:rPr>
          <w:rFonts w:cs="Verdana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1D4F9E">
        <w:rPr>
          <w:rFonts w:cs="Verdana"/>
          <w:sz w:val="24"/>
          <w:szCs w:val="24"/>
          <w:lang w:val="ru-RU"/>
        </w:rPr>
        <w:t xml:space="preserve">: </w:t>
      </w:r>
    </w:p>
    <w:p w:rsidR="00BC6297" w:rsidRPr="001D4F9E" w:rsidRDefault="00BC6297" w:rsidP="00BC6297">
      <w:pPr>
        <w:widowControl w:val="0"/>
        <w:autoSpaceDE w:val="0"/>
        <w:autoSpaceDN w:val="0"/>
        <w:adjustRightInd w:val="0"/>
        <w:spacing w:after="0" w:line="39" w:lineRule="exact"/>
        <w:rPr>
          <w:rFonts w:cs="Verdana"/>
          <w:sz w:val="24"/>
          <w:szCs w:val="24"/>
          <w:lang w:val="ru-RU"/>
        </w:rPr>
      </w:pP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F75440" w:rsidRDefault="00BC6297" w:rsidP="00F7544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14" w:hanging="357"/>
        <w:jc w:val="both"/>
        <w:rPr>
          <w:rFonts w:ascii="Cambria" w:hAnsi="Cambria" w:cs="Verdana"/>
          <w:lang w:val="ru-RU"/>
        </w:rPr>
      </w:pPr>
      <w:r w:rsidRPr="00F75440">
        <w:rPr>
          <w:rFonts w:ascii="Cambria" w:hAnsi="Cambria" w:cs="Verdana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1D4F9E" w:rsidRDefault="00BC6297" w:rsidP="001A1179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1D4F9E" w:rsidSect="009A446A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64D" w:rsidRDefault="0000564D" w:rsidP="003E46F1">
      <w:pPr>
        <w:spacing w:after="0" w:line="240" w:lineRule="auto"/>
      </w:pPr>
      <w:r>
        <w:separator/>
      </w:r>
    </w:p>
  </w:endnote>
  <w:endnote w:type="continuationSeparator" w:id="0">
    <w:p w:rsidR="0000564D" w:rsidRDefault="0000564D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3244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8BF" w:rsidRDefault="008048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1B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048BF" w:rsidRDefault="008048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64D" w:rsidRDefault="0000564D" w:rsidP="003E46F1">
      <w:pPr>
        <w:spacing w:after="0" w:line="240" w:lineRule="auto"/>
      </w:pPr>
      <w:r>
        <w:separator/>
      </w:r>
    </w:p>
  </w:footnote>
  <w:footnote w:type="continuationSeparator" w:id="0">
    <w:p w:rsidR="0000564D" w:rsidRDefault="0000564D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17"/>
  </w:num>
  <w:num w:numId="4">
    <w:abstractNumId w:val="12"/>
  </w:num>
  <w:num w:numId="5">
    <w:abstractNumId w:val="11"/>
  </w:num>
  <w:num w:numId="6">
    <w:abstractNumId w:val="13"/>
  </w:num>
  <w:num w:numId="7">
    <w:abstractNumId w:val="14"/>
  </w:num>
  <w:num w:numId="8">
    <w:abstractNumId w:val="9"/>
  </w:num>
  <w:num w:numId="9">
    <w:abstractNumId w:val="8"/>
  </w:num>
  <w:num w:numId="10">
    <w:abstractNumId w:val="16"/>
  </w:num>
  <w:num w:numId="11">
    <w:abstractNumId w:val="15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6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0564D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E7C"/>
    <w:rsid w:val="000E497B"/>
    <w:rsid w:val="000E5ED3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6A0E"/>
    <w:rsid w:val="001F252A"/>
    <w:rsid w:val="001F5968"/>
    <w:rsid w:val="00202479"/>
    <w:rsid w:val="002074D5"/>
    <w:rsid w:val="00220D70"/>
    <w:rsid w:val="00222C05"/>
    <w:rsid w:val="002310AA"/>
    <w:rsid w:val="00235E78"/>
    <w:rsid w:val="0026733B"/>
    <w:rsid w:val="00271C40"/>
    <w:rsid w:val="00281A59"/>
    <w:rsid w:val="002C0C0C"/>
    <w:rsid w:val="002D2C8E"/>
    <w:rsid w:val="002F11F3"/>
    <w:rsid w:val="002F2B17"/>
    <w:rsid w:val="00326EB3"/>
    <w:rsid w:val="00327425"/>
    <w:rsid w:val="00335184"/>
    <w:rsid w:val="00342F15"/>
    <w:rsid w:val="00351785"/>
    <w:rsid w:val="003667E0"/>
    <w:rsid w:val="00374D85"/>
    <w:rsid w:val="003B61BC"/>
    <w:rsid w:val="003D6175"/>
    <w:rsid w:val="003E46F1"/>
    <w:rsid w:val="003E784F"/>
    <w:rsid w:val="00403339"/>
    <w:rsid w:val="00403775"/>
    <w:rsid w:val="0041066A"/>
    <w:rsid w:val="004249B4"/>
    <w:rsid w:val="00457382"/>
    <w:rsid w:val="00457B41"/>
    <w:rsid w:val="00494D41"/>
    <w:rsid w:val="004A5F20"/>
    <w:rsid w:val="004D6D1D"/>
    <w:rsid w:val="004E03DD"/>
    <w:rsid w:val="004E6EB2"/>
    <w:rsid w:val="004F4160"/>
    <w:rsid w:val="0052407A"/>
    <w:rsid w:val="005501BA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5F077A"/>
    <w:rsid w:val="006157AF"/>
    <w:rsid w:val="006217A3"/>
    <w:rsid w:val="00640925"/>
    <w:rsid w:val="00644B8E"/>
    <w:rsid w:val="00675165"/>
    <w:rsid w:val="006810BF"/>
    <w:rsid w:val="00681C10"/>
    <w:rsid w:val="00695619"/>
    <w:rsid w:val="006D0F40"/>
    <w:rsid w:val="006D3A0D"/>
    <w:rsid w:val="00705933"/>
    <w:rsid w:val="0071166B"/>
    <w:rsid w:val="007452A1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48BF"/>
    <w:rsid w:val="008070D7"/>
    <w:rsid w:val="00816405"/>
    <w:rsid w:val="00837C58"/>
    <w:rsid w:val="0086609E"/>
    <w:rsid w:val="00872A85"/>
    <w:rsid w:val="00896D8E"/>
    <w:rsid w:val="008975A0"/>
    <w:rsid w:val="008B6F1C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4C0D"/>
    <w:rsid w:val="00A200EF"/>
    <w:rsid w:val="00A60EFF"/>
    <w:rsid w:val="00A618A4"/>
    <w:rsid w:val="00A75138"/>
    <w:rsid w:val="00A86816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74E5F"/>
    <w:rsid w:val="00B9176B"/>
    <w:rsid w:val="00B93894"/>
    <w:rsid w:val="00BA1059"/>
    <w:rsid w:val="00BB1393"/>
    <w:rsid w:val="00BC6297"/>
    <w:rsid w:val="00BD2320"/>
    <w:rsid w:val="00BD3E6B"/>
    <w:rsid w:val="00BE5CE3"/>
    <w:rsid w:val="00C16027"/>
    <w:rsid w:val="00C31DE2"/>
    <w:rsid w:val="00C34454"/>
    <w:rsid w:val="00C40821"/>
    <w:rsid w:val="00C41CC3"/>
    <w:rsid w:val="00C63093"/>
    <w:rsid w:val="00C63AF3"/>
    <w:rsid w:val="00C8698F"/>
    <w:rsid w:val="00C91A6E"/>
    <w:rsid w:val="00CA35E9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E03127"/>
    <w:rsid w:val="00E13209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51F"/>
    <w:rsid w:val="00EB5DE7"/>
    <w:rsid w:val="00EC3CFC"/>
    <w:rsid w:val="00EC777C"/>
    <w:rsid w:val="00EE0328"/>
    <w:rsid w:val="00F11136"/>
    <w:rsid w:val="00F13F23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48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8BF"/>
  </w:style>
  <w:style w:type="paragraph" w:styleId="Footer">
    <w:name w:val="footer"/>
    <w:basedOn w:val="Normal"/>
    <w:link w:val="FooterChar"/>
    <w:uiPriority w:val="99"/>
    <w:unhideWhenUsed/>
    <w:rsid w:val="008048B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bassy.Tirana@mf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2FA23167-2054-493C-97B6-0BFD1EB1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MVNR</cp:lastModifiedBy>
  <cp:revision>8</cp:revision>
  <cp:lastPrinted>2019-03-21T14:53:00Z</cp:lastPrinted>
  <dcterms:created xsi:type="dcterms:W3CDTF">2021-05-10T06:58:00Z</dcterms:created>
  <dcterms:modified xsi:type="dcterms:W3CDTF">2021-05-10T08:19:00Z</dcterms:modified>
</cp:coreProperties>
</file>