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E37BC" w14:textId="77777777" w:rsidR="00593FF9" w:rsidRPr="00593FF9" w:rsidRDefault="00593FF9" w:rsidP="00593FF9">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Pr>
          <w:rFonts w:ascii="Times New Roman" w:hAnsi="Times New Roman"/>
          <w:b/>
          <w:bCs/>
          <w:sz w:val="28"/>
          <w:szCs w:val="28"/>
        </w:rPr>
        <w:t xml:space="preserve">ПОДБОР НА СРОЧНО НАЕТИ СЛУЖИТЕЛИ (СТЕПЕН AD13) </w:t>
      </w:r>
    </w:p>
    <w:p w14:paraId="7CAD0208" w14:textId="77777777" w:rsidR="00593FF9" w:rsidRPr="00593FF9" w:rsidRDefault="00720F6A" w:rsidP="00593FF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b/>
          <w:bCs/>
          <w:sz w:val="28"/>
          <w:szCs w:val="28"/>
        </w:rPr>
        <w:t>ЗА ГЕНЕРАЛНА ДИРЕКЦИЯ „КОМУНИКАЦИИ“</w:t>
      </w:r>
    </w:p>
    <w:p w14:paraId="1433EBD6" w14:textId="47A03795" w:rsidR="00593FF9" w:rsidRPr="00593FF9" w:rsidRDefault="00593FF9" w:rsidP="00593FF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b/>
          <w:bCs/>
          <w:sz w:val="28"/>
          <w:szCs w:val="28"/>
        </w:rPr>
        <w:t>COM/2020/20051</w:t>
      </w:r>
    </w:p>
    <w:p w14:paraId="26EB3F32" w14:textId="77777777" w:rsidR="00593FF9" w:rsidRPr="00593FF9" w:rsidRDefault="00593FF9" w:rsidP="00593FF9">
      <w:pPr>
        <w:jc w:val="center"/>
        <w:rPr>
          <w:rFonts w:ascii="Arial" w:hAnsi="Arial" w:cs="Arial"/>
          <w:b/>
          <w:sz w:val="28"/>
        </w:rPr>
      </w:pPr>
      <w:r>
        <w:rPr>
          <w:rFonts w:ascii="Arial" w:hAnsi="Arial"/>
          <w:b/>
          <w:sz w:val="28"/>
        </w:rPr>
        <w:t>__________________________________________________</w:t>
      </w:r>
    </w:p>
    <w:p w14:paraId="29E41B76" w14:textId="77777777" w:rsidR="00593FF9" w:rsidRDefault="00593FF9" w:rsidP="000E0C7D">
      <w:pPr>
        <w:spacing w:after="120" w:line="240" w:lineRule="auto"/>
        <w:contextualSpacing/>
        <w:jc w:val="both"/>
        <w:rPr>
          <w:rFonts w:ascii="Times New Roman" w:hAnsi="Times New Roman" w:cs="Times New Roman"/>
          <w:sz w:val="24"/>
          <w:szCs w:val="24"/>
        </w:rPr>
      </w:pPr>
      <w:r>
        <w:rPr>
          <w:rFonts w:ascii="Times New Roman" w:hAnsi="Times New Roman"/>
          <w:sz w:val="24"/>
          <w:szCs w:val="24"/>
        </w:rPr>
        <w:t xml:space="preserve">Европейската комисия организира външна процедура за подбор на кандидати за длъжността РЪКОВОДИТЕЛ НА ПРЕДСТАВИТЕЛСТВО в </w:t>
      </w:r>
      <w:r>
        <w:rPr>
          <w:rFonts w:ascii="Times New Roman" w:hAnsi="Times New Roman"/>
          <w:caps/>
          <w:sz w:val="24"/>
          <w:szCs w:val="24"/>
        </w:rPr>
        <w:t>Букурещ</w:t>
      </w:r>
      <w:r>
        <w:rPr>
          <w:rFonts w:ascii="Times New Roman" w:hAnsi="Times New Roman"/>
          <w:sz w:val="24"/>
          <w:szCs w:val="24"/>
        </w:rPr>
        <w:t xml:space="preserve">. Мястото на работа е в Букурещ, Румъния. Представителството е част от генерална дирекция „Комуникации“ (дирекция DGA1.C „Представителство и комуникация в държавите членки“). </w:t>
      </w:r>
    </w:p>
    <w:p w14:paraId="2EFE3D7C" w14:textId="77777777" w:rsidR="00593FF9" w:rsidRPr="00593FF9" w:rsidRDefault="00593FF9" w:rsidP="00593FF9">
      <w:pPr>
        <w:spacing w:after="120" w:line="240" w:lineRule="auto"/>
        <w:contextualSpacing/>
        <w:jc w:val="both"/>
        <w:rPr>
          <w:rFonts w:ascii="Arial" w:hAnsi="Arial" w:cs="Arial"/>
          <w:sz w:val="24"/>
          <w:szCs w:val="24"/>
        </w:rPr>
      </w:pPr>
    </w:p>
    <w:p w14:paraId="6A8979B0" w14:textId="77777777" w:rsidR="00593FF9" w:rsidRPr="00B85358" w:rsidRDefault="00593FF9" w:rsidP="00B85358">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ЕСТЕСТВО НА СЛУЖЕБНИТЕ ЗАДЪЛЖЕНИЯ </w:t>
      </w:r>
    </w:p>
    <w:p w14:paraId="370E4542" w14:textId="77777777" w:rsidR="00593FF9" w:rsidRPr="00593FF9" w:rsidRDefault="00593FF9" w:rsidP="00593FF9">
      <w:pPr>
        <w:spacing w:after="120" w:line="240" w:lineRule="auto"/>
        <w:contextualSpacing/>
        <w:rPr>
          <w:rFonts w:ascii="Times New Roman" w:hAnsi="Times New Roman" w:cs="Times New Roman"/>
          <w:sz w:val="24"/>
          <w:szCs w:val="24"/>
        </w:rPr>
      </w:pPr>
      <w:r>
        <w:rPr>
          <w:rFonts w:ascii="Times New Roman" w:hAnsi="Times New Roman"/>
          <w:sz w:val="24"/>
          <w:szCs w:val="24"/>
        </w:rPr>
        <w:t xml:space="preserve">Ръководителят на Представителството в Букурещ отговаря за: </w:t>
      </w:r>
    </w:p>
    <w:p w14:paraId="3983B32B"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изпълнението на задачите на говорител на Европейската комисия в държавата членка домакин; </w:t>
      </w:r>
    </w:p>
    <w:p w14:paraId="0C7D4953"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разясняването на политиките на Комисията и изграждането на подкрепа за тях; </w:t>
      </w:r>
    </w:p>
    <w:p w14:paraId="3D729A51"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наблюдението на политическите, икономическите и социалните промени и докладването за тях; </w:t>
      </w:r>
    </w:p>
    <w:p w14:paraId="7096F2DC"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упражняването на цялостна отговорност за дейностите по комуникация с медиите, целящи създаването на положителен образ на Комисията и предаването на нейните политически послания на медиите и чрез тях; </w:t>
      </w:r>
    </w:p>
    <w:p w14:paraId="69EFCF2A"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координирането и изпълнението на дейностите на Представителството, като осигурява тяхната съгласуваност и съвместимост с комуникационните приоритети на Комисията; </w:t>
      </w:r>
    </w:p>
    <w:p w14:paraId="2FEB782B"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координирането на предоставянето на информация за широката общественост, включително чрез мрежите за информация и документация на генерална дирекция „Комуникации“ (ГД „Комуникации“); </w:t>
      </w:r>
    </w:p>
    <w:p w14:paraId="776DD166"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управлението и координирането на човешките и финансовите ресурси на Представителството; </w:t>
      </w:r>
    </w:p>
    <w:p w14:paraId="4B0736B5"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координирането на инициативи с информационното бюро за връзка на Европейския парламент; </w:t>
      </w:r>
    </w:p>
    <w:p w14:paraId="6ECA92F2" w14:textId="77777777" w:rsidR="00593FF9" w:rsidRPr="00593FF9" w:rsidRDefault="00593FF9" w:rsidP="00152961">
      <w:pPr>
        <w:pStyle w:val="ListParagraph"/>
        <w:numPr>
          <w:ilvl w:val="0"/>
          <w:numId w:val="1"/>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подпомагането на Комисията чрез предоставяне на връзки с национални и местни органи и анализ на политическата ситуация. </w:t>
      </w:r>
    </w:p>
    <w:p w14:paraId="6C743BE8" w14:textId="77777777" w:rsidR="00593FF9" w:rsidRDefault="00593FF9" w:rsidP="00593FF9">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Ръководителят на Представителството отговаря също така за постигането на годишните цели на Представителството, определени със съгласието на висшето ръководство на ГД „Комуникации“. </w:t>
      </w:r>
    </w:p>
    <w:p w14:paraId="422B25FF" w14:textId="77777777" w:rsidR="00593FF9" w:rsidRPr="00593FF9" w:rsidRDefault="00593FF9" w:rsidP="00593FF9">
      <w:pPr>
        <w:spacing w:after="120" w:line="240" w:lineRule="auto"/>
        <w:ind w:hanging="1"/>
        <w:contextualSpacing/>
        <w:jc w:val="both"/>
        <w:rPr>
          <w:rFonts w:ascii="Times New Roman" w:hAnsi="Times New Roman" w:cs="Times New Roman"/>
          <w:sz w:val="24"/>
          <w:szCs w:val="24"/>
        </w:rPr>
      </w:pPr>
    </w:p>
    <w:p w14:paraId="0C5D8513" w14:textId="2C7F5F78" w:rsidR="00593FF9" w:rsidRDefault="00593FF9" w:rsidP="00593FF9">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Ръководителят на Представителството следи за всички аспекти на работата на Представителството, като изпълнява функциите на вторично оправомощен разпоредител с бюджетни кредити. Поради това длъжността се счита за „чувствителна“ и мандатът е първоначално ограничен до три години с възможност за еднократно удължаване за най-много две години. </w:t>
      </w:r>
    </w:p>
    <w:p w14:paraId="7AC6F0C8" w14:textId="77777777" w:rsidR="00593FF9" w:rsidRPr="00593FF9" w:rsidRDefault="00593FF9" w:rsidP="00593FF9">
      <w:pPr>
        <w:spacing w:after="120" w:line="240" w:lineRule="auto"/>
        <w:ind w:hanging="1"/>
        <w:contextualSpacing/>
        <w:jc w:val="both"/>
        <w:rPr>
          <w:rFonts w:ascii="Times New Roman" w:hAnsi="Times New Roman" w:cs="Times New Roman"/>
          <w:sz w:val="24"/>
          <w:szCs w:val="24"/>
        </w:rPr>
      </w:pPr>
    </w:p>
    <w:p w14:paraId="3D10226A" w14:textId="77777777" w:rsidR="00593FF9" w:rsidRPr="00B85358" w:rsidRDefault="00593FF9" w:rsidP="00B85358">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ВИД И ПРОДЪЛЖИТЕЛНОСТ НА ДОГОВОРА </w:t>
      </w:r>
    </w:p>
    <w:p w14:paraId="2F051CCB" w14:textId="77777777" w:rsidR="00593FF9" w:rsidRPr="00593FF9" w:rsidRDefault="00593FF9" w:rsidP="00593FF9">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На избрания кандидат може да бъде предложен срочен договор по член 2, буква б) от Условията за работа на другите служители на Европейския съюз</w:t>
      </w:r>
      <w:r>
        <w:rPr>
          <w:rStyle w:val="FootnoteReference"/>
          <w:rFonts w:ascii="Times New Roman" w:hAnsi="Times New Roman" w:cs="Times New Roman"/>
          <w:sz w:val="24"/>
          <w:szCs w:val="24"/>
        </w:rPr>
        <w:footnoteReference w:id="1"/>
      </w:r>
      <w:r>
        <w:rPr>
          <w:rFonts w:ascii="Times New Roman" w:hAnsi="Times New Roman"/>
          <w:sz w:val="24"/>
          <w:szCs w:val="24"/>
        </w:rPr>
        <w:t xml:space="preserve"> в съответствие с Решението на Комисията от 16 декември 2013 г. относно </w:t>
      </w:r>
      <w:r>
        <w:rPr>
          <w:rFonts w:ascii="Times New Roman" w:hAnsi="Times New Roman"/>
          <w:sz w:val="24"/>
          <w:szCs w:val="24"/>
        </w:rPr>
        <w:lastRenderedPageBreak/>
        <w:t>политиките за наемане на работа и използване на срочно наети служители</w:t>
      </w:r>
      <w:r>
        <w:rPr>
          <w:rStyle w:val="FootnoteReference"/>
          <w:rFonts w:ascii="Times New Roman" w:hAnsi="Times New Roman" w:cs="Times New Roman"/>
          <w:sz w:val="24"/>
          <w:szCs w:val="24"/>
        </w:rPr>
        <w:footnoteReference w:id="2"/>
      </w:r>
      <w:r>
        <w:rPr>
          <w:rFonts w:ascii="Times New Roman" w:hAnsi="Times New Roman"/>
          <w:sz w:val="24"/>
          <w:szCs w:val="24"/>
        </w:rPr>
        <w:t xml:space="preserve">. Продължителността на първоначалния договор ще бъде три години с възможност за подновяване за най-много две години. </w:t>
      </w:r>
    </w:p>
    <w:p w14:paraId="722E5AE1" w14:textId="77777777" w:rsidR="00593FF9" w:rsidRDefault="00593FF9" w:rsidP="00593FF9">
      <w:pPr>
        <w:pStyle w:val="Default"/>
        <w:rPr>
          <w:color w:val="auto"/>
        </w:rPr>
      </w:pPr>
    </w:p>
    <w:p w14:paraId="77616059" w14:textId="77777777" w:rsidR="00777B51" w:rsidRDefault="00593FF9"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При определянето на максималната продължителност на договора ще се вземат предвид и съответните разпоредби от Решението на Комисията от 16 декември 2013 г. относно максималната продължителност на използването на временно нает персонал (седем години в рамките на период от дванадесет години</w:t>
      </w:r>
      <w:r>
        <w:rPr>
          <w:rStyle w:val="FootnoteReference"/>
          <w:rFonts w:ascii="Times New Roman" w:hAnsi="Times New Roman" w:cs="Times New Roman"/>
          <w:sz w:val="24"/>
          <w:szCs w:val="24"/>
        </w:rPr>
        <w:footnoteReference w:id="3"/>
      </w:r>
      <w:r>
        <w:rPr>
          <w:rFonts w:ascii="Times New Roman" w:hAnsi="Times New Roman"/>
          <w:sz w:val="24"/>
          <w:szCs w:val="24"/>
        </w:rPr>
        <w:t>), както и съответните разпоредби на Решението на Комисията от 31 юли 2008 г. относно правилата за ротация (най-много 5 години на длъжността ръководител на представителство</w:t>
      </w:r>
      <w:r>
        <w:rPr>
          <w:rStyle w:val="FootnoteReference"/>
          <w:rFonts w:ascii="Times New Roman" w:hAnsi="Times New Roman" w:cs="Times New Roman"/>
          <w:sz w:val="24"/>
          <w:szCs w:val="24"/>
        </w:rPr>
        <w:footnoteReference w:id="4"/>
      </w:r>
      <w:r>
        <w:rPr>
          <w:rFonts w:ascii="Times New Roman" w:hAnsi="Times New Roman"/>
          <w:sz w:val="24"/>
          <w:szCs w:val="24"/>
        </w:rPr>
        <w:t xml:space="preserve">). </w:t>
      </w:r>
    </w:p>
    <w:p w14:paraId="6DBA24D9" w14:textId="77777777" w:rsidR="00777B51" w:rsidRPr="00475432" w:rsidRDefault="00777B51" w:rsidP="00777B51">
      <w:pPr>
        <w:spacing w:after="120" w:line="240" w:lineRule="auto"/>
        <w:contextualSpacing/>
        <w:jc w:val="both"/>
        <w:rPr>
          <w:rFonts w:ascii="Times New Roman" w:hAnsi="Times New Roman" w:cs="Times New Roman"/>
          <w:sz w:val="24"/>
          <w:szCs w:val="24"/>
        </w:rPr>
      </w:pPr>
    </w:p>
    <w:p w14:paraId="1924960A" w14:textId="77777777" w:rsidR="00593FF9" w:rsidRPr="00777B51" w:rsidRDefault="00593FF9" w:rsidP="00777B51">
      <w:pPr>
        <w:tabs>
          <w:tab w:val="left" w:pos="3544"/>
        </w:tabs>
        <w:spacing w:after="120" w:line="240" w:lineRule="auto"/>
        <w:rPr>
          <w:rFonts w:ascii="Times New Roman" w:hAnsi="Times New Roman" w:cs="Times New Roman"/>
          <w:bCs/>
          <w:sz w:val="24"/>
          <w:szCs w:val="24"/>
        </w:rPr>
      </w:pPr>
      <w:r>
        <w:rPr>
          <w:rFonts w:ascii="Times New Roman" w:hAnsi="Times New Roman"/>
          <w:b/>
          <w:bCs/>
          <w:sz w:val="24"/>
          <w:szCs w:val="24"/>
        </w:rPr>
        <w:t xml:space="preserve">МЯСТО НА РАБОТА </w:t>
      </w:r>
      <w:r>
        <w:tab/>
      </w:r>
      <w:r>
        <w:rPr>
          <w:rFonts w:ascii="Times New Roman" w:hAnsi="Times New Roman"/>
          <w:bCs/>
          <w:sz w:val="24"/>
          <w:szCs w:val="24"/>
        </w:rPr>
        <w:t xml:space="preserve">Букурещ, Румъния. </w:t>
      </w:r>
    </w:p>
    <w:p w14:paraId="2B9CC531" w14:textId="77777777" w:rsidR="00593FF9" w:rsidRDefault="00777B51" w:rsidP="00777B51">
      <w:pPr>
        <w:tabs>
          <w:tab w:val="left" w:pos="3544"/>
        </w:tabs>
        <w:spacing w:after="120" w:line="240" w:lineRule="auto"/>
        <w:rPr>
          <w:rFonts w:ascii="Times New Roman" w:hAnsi="Times New Roman" w:cs="Times New Roman"/>
          <w:bCs/>
          <w:sz w:val="24"/>
          <w:szCs w:val="24"/>
        </w:rPr>
      </w:pPr>
      <w:r>
        <w:rPr>
          <w:rFonts w:ascii="Times New Roman" w:hAnsi="Times New Roman"/>
          <w:b/>
          <w:bCs/>
          <w:sz w:val="24"/>
          <w:szCs w:val="24"/>
        </w:rPr>
        <w:t>НИВО</w:t>
      </w:r>
      <w:r>
        <w:tab/>
      </w:r>
      <w:r>
        <w:rPr>
          <w:rFonts w:ascii="Times New Roman" w:hAnsi="Times New Roman"/>
          <w:bCs/>
          <w:sz w:val="24"/>
          <w:szCs w:val="24"/>
        </w:rPr>
        <w:t>AD13</w:t>
      </w:r>
    </w:p>
    <w:p w14:paraId="3845AE2F" w14:textId="77777777" w:rsidR="00C4483C" w:rsidRDefault="00C4483C" w:rsidP="00C4483C">
      <w:pPr>
        <w:tabs>
          <w:tab w:val="left" w:pos="3544"/>
        </w:tabs>
        <w:spacing w:after="0" w:line="240" w:lineRule="auto"/>
        <w:rPr>
          <w:rFonts w:ascii="Times New Roman" w:hAnsi="Times New Roman" w:cs="Times New Roman"/>
          <w:bCs/>
          <w:sz w:val="24"/>
          <w:szCs w:val="24"/>
        </w:rPr>
      </w:pPr>
    </w:p>
    <w:p w14:paraId="6438228E" w14:textId="77777777" w:rsidR="00593FF9" w:rsidRPr="00777B51" w:rsidRDefault="00593FF9" w:rsidP="00B85358">
      <w:pPr>
        <w:pStyle w:val="ListParagraph"/>
        <w:numPr>
          <w:ilvl w:val="0"/>
          <w:numId w:val="6"/>
        </w:numPr>
        <w:spacing w:after="120" w:line="240" w:lineRule="auto"/>
        <w:contextualSpacing w:val="0"/>
        <w:rPr>
          <w:rFonts w:ascii="Times New Roman" w:hAnsi="Times New Roman" w:cs="Times New Roman"/>
          <w:b/>
          <w:sz w:val="24"/>
          <w:szCs w:val="24"/>
        </w:rPr>
      </w:pPr>
      <w:r>
        <w:rPr>
          <w:rFonts w:ascii="Times New Roman" w:hAnsi="Times New Roman"/>
          <w:b/>
          <w:sz w:val="24"/>
          <w:szCs w:val="24"/>
        </w:rPr>
        <w:t xml:space="preserve">УСЛОВИЯ ЗА ДОПУСКАНЕ </w:t>
      </w:r>
    </w:p>
    <w:p w14:paraId="5892877D" w14:textId="77777777" w:rsidR="00593FF9" w:rsidRPr="00777B51" w:rsidRDefault="00593FF9" w:rsidP="00777B51">
      <w:pPr>
        <w:pStyle w:val="ListParagraph"/>
        <w:spacing w:after="120" w:line="240" w:lineRule="auto"/>
        <w:ind w:left="426" w:hanging="426"/>
        <w:rPr>
          <w:rFonts w:ascii="Times New Roman" w:hAnsi="Times New Roman" w:cs="Times New Roman"/>
          <w:b/>
          <w:bCs/>
          <w:sz w:val="24"/>
          <w:szCs w:val="24"/>
        </w:rPr>
      </w:pPr>
      <w:r>
        <w:rPr>
          <w:rFonts w:ascii="Times New Roman" w:hAnsi="Times New Roman"/>
          <w:b/>
          <w:bCs/>
          <w:sz w:val="24"/>
          <w:szCs w:val="24"/>
        </w:rPr>
        <w:t xml:space="preserve">3.1 Общи условия </w:t>
      </w:r>
    </w:p>
    <w:p w14:paraId="0864A174" w14:textId="77777777" w:rsidR="002B10D9" w:rsidRDefault="00593FF9" w:rsidP="002B10D9">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Кандидатите трябва да отговарят на изискванията, посочени в член 12 от Условията за работа на другите служители на Европейския съюз, сред които е притежаването на гражданство на държава — членка на Европейския съюз. </w:t>
      </w:r>
    </w:p>
    <w:p w14:paraId="179286DB" w14:textId="77777777" w:rsidR="00C4483C" w:rsidRPr="00777B51" w:rsidRDefault="00C4483C" w:rsidP="002B10D9">
      <w:pPr>
        <w:spacing w:after="120" w:line="240" w:lineRule="auto"/>
        <w:ind w:hanging="1"/>
        <w:contextualSpacing/>
        <w:jc w:val="both"/>
        <w:rPr>
          <w:rFonts w:ascii="Times New Roman" w:hAnsi="Times New Roman" w:cs="Times New Roman"/>
          <w:sz w:val="24"/>
          <w:szCs w:val="24"/>
        </w:rPr>
      </w:pPr>
    </w:p>
    <w:p w14:paraId="6B4C3D5F" w14:textId="43748E9C" w:rsidR="00593FF9" w:rsidRPr="00777B51" w:rsidRDefault="00593FF9" w:rsidP="00777B51">
      <w:pPr>
        <w:pStyle w:val="ListParagraph"/>
        <w:spacing w:after="120" w:line="240" w:lineRule="auto"/>
        <w:ind w:left="426" w:hanging="426"/>
        <w:rPr>
          <w:rFonts w:ascii="Times New Roman" w:hAnsi="Times New Roman" w:cs="Times New Roman"/>
          <w:b/>
          <w:bCs/>
          <w:sz w:val="24"/>
          <w:szCs w:val="24"/>
        </w:rPr>
      </w:pPr>
      <w:r>
        <w:rPr>
          <w:rFonts w:ascii="Times New Roman" w:hAnsi="Times New Roman"/>
          <w:b/>
          <w:bCs/>
          <w:sz w:val="24"/>
          <w:szCs w:val="24"/>
        </w:rPr>
        <w:t>3.2 Специфични условия — Допустимост</w:t>
      </w:r>
    </w:p>
    <w:p w14:paraId="66DB6018" w14:textId="77777777" w:rsidR="00593FF9" w:rsidRPr="00777B51" w:rsidRDefault="00593FF9" w:rsidP="00777B51">
      <w:pPr>
        <w:spacing w:after="120" w:line="240" w:lineRule="auto"/>
        <w:rPr>
          <w:rFonts w:ascii="Times New Roman" w:hAnsi="Times New Roman" w:cs="Times New Roman"/>
          <w:b/>
          <w:bCs/>
          <w:sz w:val="24"/>
          <w:szCs w:val="24"/>
        </w:rPr>
      </w:pPr>
      <w:r>
        <w:rPr>
          <w:rFonts w:ascii="Times New Roman" w:hAnsi="Times New Roman"/>
          <w:b/>
          <w:bCs/>
          <w:sz w:val="24"/>
          <w:szCs w:val="24"/>
        </w:rPr>
        <w:t xml:space="preserve">3.2.1 Квалификации </w:t>
      </w:r>
    </w:p>
    <w:p w14:paraId="090258DB" w14:textId="77777777" w:rsidR="00593FF9" w:rsidRPr="00777B51" w:rsidRDefault="00593FF9"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Към крайния срок за подаване на кандидатурите кандидатите трябва да притежават: </w:t>
      </w:r>
    </w:p>
    <w:p w14:paraId="3A177EC2" w14:textId="77777777" w:rsidR="00593FF9" w:rsidRPr="00777B51" w:rsidRDefault="000E0C7D"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образователна степен, която съответства на завършено висше образование, удостоверена с диплома, когато нормалната продължителност на висшето образование е четири или повече години, </w:t>
      </w:r>
    </w:p>
    <w:p w14:paraId="3266B0F8" w14:textId="77777777" w:rsidR="00593FF9" w:rsidRPr="00777B51" w:rsidRDefault="00593FF9"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или </w:t>
      </w:r>
    </w:p>
    <w:p w14:paraId="289FE16D" w14:textId="77777777" w:rsidR="00593FF9" w:rsidRPr="00777B51" w:rsidRDefault="000E0C7D"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образователна степен, която съответства на завършено висше образование с продължителност на обучението най-малко три години, удостоверена с диплома, и подходящ професионален опит от най-малко една година. </w:t>
      </w:r>
    </w:p>
    <w:p w14:paraId="1897E971" w14:textId="77777777" w:rsidR="00593FF9" w:rsidRPr="00777B51" w:rsidRDefault="00593FF9"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Професионалният опит с продължителност най-малко една година се счита за неразделна част от дипломата и не се взема предвид при изчисляването на броя на годините професионален опит, който се изисква по-долу. </w:t>
      </w:r>
    </w:p>
    <w:p w14:paraId="16E35B89" w14:textId="77777777" w:rsidR="00593FF9" w:rsidRDefault="00593FF9" w:rsidP="00777B51">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Под внимание се вземат единствено дипломите, които са издадени в държавите — членки на ЕС, или за които са издадени удостоверения за еквивалентност от органите на една от тези държави членки.</w:t>
      </w:r>
    </w:p>
    <w:p w14:paraId="2B3B5530" w14:textId="77777777" w:rsidR="002B10D9" w:rsidRDefault="002B10D9" w:rsidP="00777B51">
      <w:pPr>
        <w:spacing w:after="120" w:line="240" w:lineRule="auto"/>
        <w:ind w:hanging="1"/>
        <w:contextualSpacing/>
        <w:jc w:val="both"/>
        <w:rPr>
          <w:rFonts w:ascii="Times New Roman" w:hAnsi="Times New Roman" w:cs="Times New Roman"/>
          <w:sz w:val="24"/>
          <w:szCs w:val="24"/>
        </w:rPr>
      </w:pPr>
    </w:p>
    <w:p w14:paraId="1E3FD1AE" w14:textId="77777777" w:rsidR="00593FF9" w:rsidRPr="00475432" w:rsidRDefault="00593FF9" w:rsidP="00475432">
      <w:pPr>
        <w:spacing w:after="120" w:line="240" w:lineRule="auto"/>
        <w:rPr>
          <w:rFonts w:ascii="Times New Roman" w:hAnsi="Times New Roman" w:cs="Times New Roman"/>
          <w:b/>
          <w:bCs/>
          <w:sz w:val="24"/>
          <w:szCs w:val="24"/>
        </w:rPr>
      </w:pPr>
      <w:r>
        <w:rPr>
          <w:rFonts w:ascii="Times New Roman" w:hAnsi="Times New Roman"/>
          <w:b/>
          <w:bCs/>
          <w:sz w:val="24"/>
          <w:szCs w:val="24"/>
        </w:rPr>
        <w:t xml:space="preserve">3.2.2 Опит </w:t>
      </w:r>
    </w:p>
    <w:p w14:paraId="115BBF61" w14:textId="325197CF" w:rsidR="00593FF9" w:rsidRDefault="00593FF9" w:rsidP="00475432">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Към крайната дата за подаване на кандидатурите, определена в настоящото обявление, кандидатите трябва да докажат, в допълнение към квалификациите, които се изискват по-горе, най-малко 15 години професионален опит, придобит </w:t>
      </w:r>
      <w:r>
        <w:rPr>
          <w:rFonts w:ascii="Times New Roman" w:hAnsi="Times New Roman"/>
          <w:sz w:val="24"/>
          <w:szCs w:val="24"/>
        </w:rPr>
        <w:lastRenderedPageBreak/>
        <w:t>след получаване на дипломата, изисквана за допускане до процедурата за подбор</w:t>
      </w:r>
      <w:r>
        <w:rPr>
          <w:rStyle w:val="FootnoteReference"/>
          <w:rFonts w:ascii="Times New Roman" w:hAnsi="Times New Roman" w:cs="Times New Roman"/>
          <w:sz w:val="24"/>
          <w:szCs w:val="24"/>
        </w:rPr>
        <w:footnoteReference w:id="5"/>
      </w:r>
      <w:r>
        <w:t>.</w:t>
      </w:r>
      <w:r>
        <w:rPr>
          <w:rFonts w:ascii="Times New Roman" w:hAnsi="Times New Roman"/>
          <w:sz w:val="24"/>
          <w:szCs w:val="24"/>
        </w:rPr>
        <w:t xml:space="preserve"> Кандидатите трябва да са упражнявали управленски функции най-малко през 4 от тези 15 години</w:t>
      </w:r>
      <w:r>
        <w:rPr>
          <w:rStyle w:val="FootnoteReference"/>
          <w:rFonts w:ascii="Times New Roman" w:hAnsi="Times New Roman" w:cs="Times New Roman"/>
          <w:sz w:val="24"/>
          <w:szCs w:val="24"/>
        </w:rPr>
        <w:footnoteReference w:id="6"/>
      </w:r>
      <w:r>
        <w:t>.</w:t>
      </w:r>
      <w:r>
        <w:rPr>
          <w:rFonts w:ascii="Times New Roman" w:hAnsi="Times New Roman"/>
          <w:sz w:val="24"/>
          <w:szCs w:val="24"/>
        </w:rPr>
        <w:t xml:space="preserve"> </w:t>
      </w:r>
    </w:p>
    <w:p w14:paraId="089CD204" w14:textId="77777777" w:rsidR="003108ED" w:rsidRDefault="003108ED" w:rsidP="003108ED">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Следните елементи ще бъдат считани за големи предимства: </w:t>
      </w:r>
    </w:p>
    <w:p w14:paraId="76337C5F" w14:textId="77777777" w:rsidR="003108ED" w:rsidRDefault="003108ED" w:rsidP="003108ED">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 доказан професионален опит в областта на информацията, комуникацията, медиите и политическите/икономическите въпроси, включително политически преговори с високопоставени служители и мрежа на високо равнище в държавата членка домакин; </w:t>
      </w:r>
    </w:p>
    <w:p w14:paraId="318C4795" w14:textId="418F8C29" w:rsidR="003108ED" w:rsidRPr="003108ED" w:rsidRDefault="003108ED" w:rsidP="003108ED">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доказан опит в работата с журналисти и/или в управлението на комуникационни проекти или кампании;</w:t>
      </w:r>
    </w:p>
    <w:p w14:paraId="4909A22D" w14:textId="77777777" w:rsidR="003108ED" w:rsidRPr="00475432" w:rsidRDefault="003108ED" w:rsidP="00475432">
      <w:pPr>
        <w:spacing w:after="120" w:line="240" w:lineRule="auto"/>
        <w:ind w:hanging="1"/>
        <w:contextualSpacing/>
        <w:jc w:val="both"/>
        <w:rPr>
          <w:rFonts w:ascii="Times New Roman" w:hAnsi="Times New Roman" w:cs="Times New Roman"/>
          <w:sz w:val="24"/>
          <w:szCs w:val="24"/>
        </w:rPr>
      </w:pPr>
    </w:p>
    <w:p w14:paraId="2542844C" w14:textId="77777777" w:rsidR="003108ED" w:rsidRPr="003108ED" w:rsidRDefault="003108ED" w:rsidP="003108ED">
      <w:pPr>
        <w:spacing w:after="120" w:line="240" w:lineRule="auto"/>
        <w:ind w:hanging="1"/>
        <w:contextualSpacing/>
        <w:jc w:val="both"/>
        <w:rPr>
          <w:rFonts w:ascii="Times New Roman" w:hAnsi="Times New Roman" w:cs="Times New Roman"/>
          <w:b/>
          <w:bCs/>
          <w:sz w:val="24"/>
          <w:szCs w:val="24"/>
        </w:rPr>
      </w:pPr>
      <w:r>
        <w:rPr>
          <w:rFonts w:ascii="Times New Roman" w:hAnsi="Times New Roman"/>
          <w:b/>
          <w:bCs/>
          <w:sz w:val="24"/>
          <w:szCs w:val="24"/>
        </w:rPr>
        <w:t xml:space="preserve">3.2.3 Езици </w:t>
      </w:r>
    </w:p>
    <w:p w14:paraId="03DA2623" w14:textId="77777777" w:rsidR="003108ED" w:rsidRPr="003108ED" w:rsidRDefault="003108ED" w:rsidP="003108ED">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Съгласно член 12, параграф 2, буква д) от Условията за работа на другите служители кандидатите трябва да владеят отлично един от официалните езици на ЕС</w:t>
      </w:r>
      <w:r>
        <w:rPr>
          <w:rFonts w:ascii="Times New Roman" w:hAnsi="Times New Roman" w:cs="Times New Roman"/>
          <w:sz w:val="24"/>
          <w:szCs w:val="24"/>
          <w:vertAlign w:val="superscript"/>
        </w:rPr>
        <w:footnoteReference w:id="7"/>
      </w:r>
      <w:r>
        <w:rPr>
          <w:rFonts w:ascii="Times New Roman" w:hAnsi="Times New Roman"/>
          <w:sz w:val="24"/>
          <w:szCs w:val="24"/>
        </w:rPr>
        <w:t xml:space="preserve"> и в задоволителна степен още един от официалните езици на ЕС. </w:t>
      </w:r>
    </w:p>
    <w:p w14:paraId="62F5CDFA" w14:textId="2646D84D" w:rsidR="003108ED" w:rsidRPr="003108ED" w:rsidRDefault="003108ED" w:rsidP="003108ED">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Поради естеството на служебните задължения се изисква способност да се общува гладко на националния език на приемащата държава. </w:t>
      </w:r>
    </w:p>
    <w:p w14:paraId="0AEBD1AE" w14:textId="77777777" w:rsidR="003108ED" w:rsidRPr="003108ED" w:rsidRDefault="003108ED" w:rsidP="003108ED">
      <w:pPr>
        <w:spacing w:after="120" w:line="240" w:lineRule="auto"/>
        <w:ind w:hanging="1"/>
        <w:contextualSpacing/>
        <w:jc w:val="both"/>
        <w:rPr>
          <w:rFonts w:ascii="Times New Roman" w:hAnsi="Times New Roman" w:cs="Times New Roman"/>
          <w:sz w:val="24"/>
          <w:szCs w:val="24"/>
        </w:rPr>
      </w:pPr>
      <w:r>
        <w:rPr>
          <w:rFonts w:ascii="Times New Roman" w:hAnsi="Times New Roman"/>
          <w:sz w:val="24"/>
          <w:szCs w:val="24"/>
        </w:rPr>
        <w:t xml:space="preserve">За да може да общува ефективно и свободно с вътрешните и външните заинтересовани страни, кандидатът трябва да притежава отлични умения за устно и писмено общуване. </w:t>
      </w:r>
    </w:p>
    <w:p w14:paraId="07C9A470" w14:textId="0B624CDB" w:rsidR="00475432" w:rsidRDefault="00475432" w:rsidP="00C4483C">
      <w:pPr>
        <w:spacing w:after="120" w:line="240" w:lineRule="auto"/>
        <w:ind w:hanging="1"/>
        <w:contextualSpacing/>
        <w:jc w:val="both"/>
        <w:rPr>
          <w:rFonts w:ascii="Times New Roman" w:hAnsi="Times New Roman" w:cs="Times New Roman"/>
          <w:sz w:val="24"/>
          <w:szCs w:val="24"/>
        </w:rPr>
      </w:pPr>
    </w:p>
    <w:p w14:paraId="38DAEB02" w14:textId="652E2293" w:rsidR="001E5BA4" w:rsidRPr="00777B51" w:rsidRDefault="001E5BA4" w:rsidP="001E5BA4">
      <w:pPr>
        <w:pStyle w:val="ListParagraph"/>
        <w:numPr>
          <w:ilvl w:val="0"/>
          <w:numId w:val="6"/>
        </w:numPr>
        <w:spacing w:after="120" w:line="240" w:lineRule="auto"/>
        <w:contextualSpacing w:val="0"/>
        <w:rPr>
          <w:rFonts w:ascii="Times New Roman" w:hAnsi="Times New Roman" w:cs="Times New Roman"/>
          <w:b/>
          <w:sz w:val="24"/>
          <w:szCs w:val="24"/>
        </w:rPr>
      </w:pPr>
      <w:r>
        <w:rPr>
          <w:rFonts w:ascii="Times New Roman" w:hAnsi="Times New Roman"/>
          <w:b/>
          <w:sz w:val="24"/>
          <w:szCs w:val="24"/>
        </w:rPr>
        <w:t xml:space="preserve">КРИТЕРИИ ЗА ПОДБОР </w:t>
      </w:r>
    </w:p>
    <w:p w14:paraId="7B8202A8" w14:textId="079CA2D3" w:rsidR="001E5BA4" w:rsidRDefault="001E5BA4" w:rsidP="00187667">
      <w:pPr>
        <w:pStyle w:val="ListParagraph"/>
        <w:numPr>
          <w:ilvl w:val="0"/>
          <w:numId w:val="14"/>
        </w:numPr>
        <w:spacing w:after="120" w:line="240" w:lineRule="auto"/>
        <w:rPr>
          <w:rFonts w:ascii="Times New Roman" w:hAnsi="Times New Roman" w:cs="Times New Roman"/>
          <w:b/>
          <w:bCs/>
          <w:sz w:val="24"/>
          <w:szCs w:val="24"/>
        </w:rPr>
      </w:pPr>
      <w:r>
        <w:rPr>
          <w:rFonts w:ascii="Times New Roman" w:hAnsi="Times New Roman"/>
          <w:b/>
          <w:bCs/>
          <w:sz w:val="24"/>
          <w:szCs w:val="24"/>
        </w:rPr>
        <w:t>Лични качества</w:t>
      </w:r>
    </w:p>
    <w:p w14:paraId="6F50E075" w14:textId="77777777" w:rsidR="003108ED" w:rsidRPr="00187667" w:rsidRDefault="003108ED" w:rsidP="003108ED">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 xml:space="preserve">способност да действа ефективно и с любезно отношение с всички лица за контакт и колеги, като по този начин изгражда стабилни работни отношения; </w:t>
      </w:r>
    </w:p>
    <w:p w14:paraId="7781A037" w14:textId="77777777" w:rsidR="003108ED" w:rsidRDefault="003108ED" w:rsidP="00187667">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 xml:space="preserve">способност да поддържа дух на сътрудничество със службите от централата на Комисията въпреки географската отдалеченост; </w:t>
      </w:r>
    </w:p>
    <w:p w14:paraId="7B6F69B9" w14:textId="21ACA6A4" w:rsidR="003108ED" w:rsidRPr="00187667" w:rsidRDefault="003108ED" w:rsidP="00187667">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динамизъм и издръжливост.</w:t>
      </w:r>
    </w:p>
    <w:p w14:paraId="3207A966" w14:textId="77777777" w:rsidR="003108ED" w:rsidRDefault="003108ED" w:rsidP="002B10D9">
      <w:pPr>
        <w:spacing w:after="120" w:line="240" w:lineRule="auto"/>
        <w:contextualSpacing/>
        <w:rPr>
          <w:rFonts w:ascii="Times New Roman" w:hAnsi="Times New Roman" w:cs="Times New Roman"/>
          <w:b/>
          <w:bCs/>
          <w:sz w:val="24"/>
          <w:szCs w:val="24"/>
          <w:u w:val="single"/>
        </w:rPr>
      </w:pPr>
    </w:p>
    <w:p w14:paraId="66B9D18B" w14:textId="77777777" w:rsidR="001E5BA4" w:rsidRDefault="001E5BA4" w:rsidP="001E5BA4">
      <w:pPr>
        <w:pStyle w:val="ListParagraph"/>
        <w:numPr>
          <w:ilvl w:val="0"/>
          <w:numId w:val="14"/>
        </w:numPr>
        <w:spacing w:after="120" w:line="240" w:lineRule="auto"/>
        <w:rPr>
          <w:rFonts w:ascii="Times New Roman" w:hAnsi="Times New Roman" w:cs="Times New Roman"/>
          <w:b/>
          <w:bCs/>
          <w:sz w:val="24"/>
          <w:szCs w:val="24"/>
        </w:rPr>
      </w:pPr>
      <w:r>
        <w:rPr>
          <w:rFonts w:ascii="Times New Roman" w:hAnsi="Times New Roman"/>
          <w:b/>
          <w:bCs/>
          <w:sz w:val="24"/>
          <w:szCs w:val="24"/>
        </w:rPr>
        <w:t>Специализирани умения</w:t>
      </w:r>
    </w:p>
    <w:p w14:paraId="725096AD" w14:textId="77777777" w:rsidR="003108ED" w:rsidRPr="00187667" w:rsidRDefault="003108ED" w:rsidP="003108ED">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 xml:space="preserve">отлично познаване на политическите приоритети на Комисията и междуинституционалните отношения; </w:t>
      </w:r>
    </w:p>
    <w:p w14:paraId="18B15E2A" w14:textId="77777777" w:rsidR="003108ED" w:rsidRPr="003108ED" w:rsidRDefault="003108ED" w:rsidP="003108ED">
      <w:pPr>
        <w:numPr>
          <w:ilvl w:val="0"/>
          <w:numId w:val="2"/>
        </w:numPr>
        <w:spacing w:after="120" w:line="240" w:lineRule="auto"/>
        <w:contextualSpacing/>
        <w:rPr>
          <w:rFonts w:ascii="Times New Roman" w:hAnsi="Times New Roman" w:cs="Times New Roman"/>
          <w:b/>
          <w:bCs/>
          <w:sz w:val="24"/>
          <w:szCs w:val="24"/>
          <w:u w:val="single"/>
        </w:rPr>
      </w:pPr>
      <w:r>
        <w:rPr>
          <w:rFonts w:ascii="Times New Roman" w:hAnsi="Times New Roman"/>
          <w:bCs/>
          <w:sz w:val="24"/>
          <w:szCs w:val="24"/>
          <w:u w:val="single"/>
        </w:rPr>
        <w:t xml:space="preserve">отлично познаване на политическата ситуация и националните медии в държавата домакин, както и на ситуацията в съседните държави </w:t>
      </w:r>
      <w:r>
        <w:rPr>
          <w:rFonts w:ascii="Times New Roman" w:hAnsi="Times New Roman"/>
          <w:b/>
          <w:bCs/>
          <w:sz w:val="24"/>
          <w:szCs w:val="24"/>
          <w:u w:val="single"/>
        </w:rPr>
        <w:t xml:space="preserve">; </w:t>
      </w:r>
    </w:p>
    <w:p w14:paraId="24F159BC" w14:textId="77777777" w:rsidR="003108ED" w:rsidRPr="003108ED" w:rsidRDefault="003108ED" w:rsidP="003108ED">
      <w:pPr>
        <w:numPr>
          <w:ilvl w:val="0"/>
          <w:numId w:val="2"/>
        </w:numPr>
        <w:spacing w:after="120" w:line="240" w:lineRule="auto"/>
        <w:contextualSpacing/>
        <w:jc w:val="both"/>
        <w:rPr>
          <w:rFonts w:ascii="Times New Roman" w:hAnsi="Times New Roman" w:cs="Times New Roman"/>
          <w:sz w:val="24"/>
          <w:szCs w:val="24"/>
        </w:rPr>
      </w:pPr>
      <w:r>
        <w:rPr>
          <w:rFonts w:ascii="Times New Roman" w:hAnsi="Times New Roman"/>
          <w:sz w:val="24"/>
          <w:szCs w:val="24"/>
        </w:rPr>
        <w:t xml:space="preserve">способност да формулира и представя пред всякакъв тип публика ясно и подходящо послание и да създава положителен образ както на европейските институции като цяло, така и на Комисията в частност; </w:t>
      </w:r>
    </w:p>
    <w:p w14:paraId="5A0C3A8A" w14:textId="77777777" w:rsidR="003108ED" w:rsidRPr="003108ED" w:rsidRDefault="003108ED" w:rsidP="003108ED">
      <w:pPr>
        <w:numPr>
          <w:ilvl w:val="0"/>
          <w:numId w:val="2"/>
        </w:numPr>
        <w:spacing w:after="120" w:line="240" w:lineRule="auto"/>
        <w:contextualSpacing/>
        <w:jc w:val="both"/>
        <w:rPr>
          <w:rFonts w:ascii="Times New Roman" w:hAnsi="Times New Roman" w:cs="Times New Roman"/>
          <w:sz w:val="24"/>
          <w:szCs w:val="24"/>
        </w:rPr>
      </w:pPr>
      <w:r>
        <w:rPr>
          <w:rFonts w:ascii="Times New Roman" w:hAnsi="Times New Roman"/>
          <w:sz w:val="24"/>
          <w:szCs w:val="24"/>
        </w:rPr>
        <w:t xml:space="preserve">способност да извлича ползи от трудни ситуации; </w:t>
      </w:r>
    </w:p>
    <w:p w14:paraId="222EB7A5" w14:textId="77777777" w:rsidR="003108ED" w:rsidRPr="003108ED" w:rsidRDefault="003108ED" w:rsidP="003108ED">
      <w:pPr>
        <w:numPr>
          <w:ilvl w:val="0"/>
          <w:numId w:val="2"/>
        </w:numPr>
        <w:spacing w:after="120" w:line="240" w:lineRule="auto"/>
        <w:contextualSpacing/>
        <w:jc w:val="both"/>
        <w:rPr>
          <w:rFonts w:ascii="Times New Roman" w:hAnsi="Times New Roman" w:cs="Times New Roman"/>
          <w:sz w:val="24"/>
          <w:szCs w:val="24"/>
        </w:rPr>
      </w:pPr>
      <w:r>
        <w:rPr>
          <w:rFonts w:ascii="Times New Roman" w:hAnsi="Times New Roman"/>
          <w:sz w:val="24"/>
          <w:szCs w:val="24"/>
        </w:rPr>
        <w:lastRenderedPageBreak/>
        <w:t xml:space="preserve">способност да работи конструктивно с различните организации, с които контактува Представителството, включително тези на високо равнище (главно политически органи и медиите); </w:t>
      </w:r>
    </w:p>
    <w:p w14:paraId="754803EA" w14:textId="77777777" w:rsidR="003108ED" w:rsidRPr="003108ED" w:rsidRDefault="003108ED" w:rsidP="003108ED">
      <w:pPr>
        <w:numPr>
          <w:ilvl w:val="0"/>
          <w:numId w:val="2"/>
        </w:numPr>
        <w:spacing w:after="120" w:line="240" w:lineRule="auto"/>
        <w:contextualSpacing/>
        <w:jc w:val="both"/>
        <w:rPr>
          <w:rFonts w:ascii="Times New Roman" w:hAnsi="Times New Roman" w:cs="Times New Roman"/>
          <w:sz w:val="24"/>
          <w:szCs w:val="24"/>
        </w:rPr>
      </w:pPr>
      <w:r>
        <w:rPr>
          <w:rFonts w:ascii="Times New Roman" w:hAnsi="Times New Roman"/>
          <w:sz w:val="24"/>
          <w:szCs w:val="24"/>
        </w:rPr>
        <w:t xml:space="preserve">способност да води обсъждания и да постига оптимални резултати, като едновременно с това запазва добрите работни отношения с всички заинтересовани страни; </w:t>
      </w:r>
    </w:p>
    <w:p w14:paraId="66CB1314" w14:textId="77777777" w:rsidR="003108ED" w:rsidRPr="003108ED" w:rsidRDefault="003108ED" w:rsidP="003108ED">
      <w:pPr>
        <w:numPr>
          <w:ilvl w:val="0"/>
          <w:numId w:val="2"/>
        </w:numPr>
        <w:spacing w:after="120" w:line="240" w:lineRule="auto"/>
        <w:contextualSpacing/>
        <w:jc w:val="both"/>
        <w:rPr>
          <w:rFonts w:ascii="Times New Roman" w:hAnsi="Times New Roman" w:cs="Times New Roman"/>
          <w:sz w:val="24"/>
          <w:szCs w:val="24"/>
        </w:rPr>
      </w:pPr>
      <w:r>
        <w:rPr>
          <w:rFonts w:ascii="Times New Roman" w:hAnsi="Times New Roman"/>
          <w:sz w:val="24"/>
          <w:szCs w:val="24"/>
        </w:rPr>
        <w:t xml:space="preserve">солидни умения за работа с медиите и за общуване. </w:t>
      </w:r>
    </w:p>
    <w:p w14:paraId="15E0D173" w14:textId="77777777" w:rsidR="003108ED" w:rsidRPr="00187667" w:rsidRDefault="003108ED" w:rsidP="003108ED">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 xml:space="preserve">разбиране на административните и финансовите процеси в институциите; </w:t>
      </w:r>
    </w:p>
    <w:p w14:paraId="6CCFE89D" w14:textId="77777777" w:rsidR="003108ED" w:rsidRPr="00187667" w:rsidRDefault="003108ED" w:rsidP="003108ED">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 xml:space="preserve">разбирането на съответните процедури ще се счита за предимство; </w:t>
      </w:r>
    </w:p>
    <w:p w14:paraId="7F1BC5F1" w14:textId="77777777" w:rsidR="003108ED" w:rsidRPr="00187667" w:rsidRDefault="003108ED" w:rsidP="003108ED">
      <w:pPr>
        <w:numPr>
          <w:ilvl w:val="0"/>
          <w:numId w:val="2"/>
        </w:numPr>
        <w:spacing w:after="120" w:line="240" w:lineRule="auto"/>
        <w:contextualSpacing/>
        <w:rPr>
          <w:rFonts w:ascii="Times New Roman" w:hAnsi="Times New Roman" w:cs="Times New Roman"/>
          <w:bCs/>
          <w:sz w:val="24"/>
          <w:szCs w:val="24"/>
          <w:u w:val="single"/>
        </w:rPr>
      </w:pPr>
      <w:r>
        <w:rPr>
          <w:rFonts w:ascii="Times New Roman" w:hAnsi="Times New Roman"/>
          <w:bCs/>
          <w:sz w:val="24"/>
          <w:szCs w:val="24"/>
          <w:u w:val="single"/>
        </w:rPr>
        <w:t xml:space="preserve">разбиране на правилата и практиките за управление на човешките ресурси в Комисията. </w:t>
      </w:r>
    </w:p>
    <w:p w14:paraId="0065565C" w14:textId="5A11BD1B" w:rsidR="003108ED" w:rsidRDefault="003108ED" w:rsidP="002B10D9">
      <w:pPr>
        <w:spacing w:after="120" w:line="240" w:lineRule="auto"/>
        <w:contextualSpacing/>
        <w:rPr>
          <w:rFonts w:ascii="Times New Roman" w:hAnsi="Times New Roman" w:cs="Times New Roman"/>
          <w:b/>
          <w:bCs/>
          <w:sz w:val="24"/>
          <w:szCs w:val="24"/>
          <w:u w:val="single"/>
        </w:rPr>
      </w:pPr>
    </w:p>
    <w:p w14:paraId="15C1F06A" w14:textId="3403A089" w:rsidR="001E5BA4" w:rsidRPr="00777B51" w:rsidRDefault="001E5BA4" w:rsidP="001E5BA4">
      <w:pPr>
        <w:pStyle w:val="ListParagraph"/>
        <w:numPr>
          <w:ilvl w:val="0"/>
          <w:numId w:val="14"/>
        </w:numPr>
        <w:spacing w:after="120" w:line="240" w:lineRule="auto"/>
        <w:rPr>
          <w:rFonts w:ascii="Times New Roman" w:hAnsi="Times New Roman" w:cs="Times New Roman"/>
          <w:b/>
          <w:bCs/>
          <w:sz w:val="24"/>
          <w:szCs w:val="24"/>
        </w:rPr>
      </w:pPr>
      <w:r>
        <w:rPr>
          <w:rFonts w:ascii="Times New Roman" w:hAnsi="Times New Roman"/>
          <w:b/>
          <w:bCs/>
          <w:sz w:val="24"/>
          <w:szCs w:val="24"/>
        </w:rPr>
        <w:t>Управленски умения</w:t>
      </w:r>
    </w:p>
    <w:p w14:paraId="09810EF4" w14:textId="77777777" w:rsidR="00475432" w:rsidRDefault="00593FF9" w:rsidP="00475432">
      <w:pPr>
        <w:pStyle w:val="ListParagraph"/>
        <w:numPr>
          <w:ilvl w:val="0"/>
          <w:numId w:val="2"/>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способността да ръководи и мотивира мултидисциплинарен и мултикултурен екип от квалифицирани служители в комплексна политическа обстановка; </w:t>
      </w:r>
    </w:p>
    <w:p w14:paraId="37275459" w14:textId="77777777" w:rsidR="00475432" w:rsidRPr="00475432" w:rsidRDefault="00593FF9" w:rsidP="00475432">
      <w:pPr>
        <w:pStyle w:val="ListParagraph"/>
        <w:numPr>
          <w:ilvl w:val="0"/>
          <w:numId w:val="2"/>
        </w:numPr>
        <w:spacing w:after="120" w:line="240" w:lineRule="auto"/>
        <w:jc w:val="both"/>
      </w:pPr>
      <w:r>
        <w:rPr>
          <w:rFonts w:ascii="Times New Roman" w:hAnsi="Times New Roman"/>
          <w:sz w:val="24"/>
          <w:szCs w:val="24"/>
        </w:rPr>
        <w:t xml:space="preserve">способността да определя и адаптира целите на Представителството в съответствие с основните комуникационни дейности на Комисията; </w:t>
      </w:r>
    </w:p>
    <w:p w14:paraId="7ADBAC86" w14:textId="77777777" w:rsidR="00593FF9" w:rsidRPr="00475432" w:rsidRDefault="00593FF9" w:rsidP="00475432">
      <w:pPr>
        <w:pStyle w:val="ListParagraph"/>
        <w:numPr>
          <w:ilvl w:val="0"/>
          <w:numId w:val="2"/>
        </w:numPr>
        <w:spacing w:after="120" w:line="240" w:lineRule="auto"/>
        <w:jc w:val="both"/>
        <w:rPr>
          <w:rFonts w:ascii="Times New Roman" w:hAnsi="Times New Roman" w:cs="Times New Roman"/>
          <w:sz w:val="24"/>
          <w:szCs w:val="24"/>
        </w:rPr>
      </w:pPr>
      <w:r>
        <w:rPr>
          <w:rFonts w:ascii="Times New Roman" w:hAnsi="Times New Roman"/>
          <w:sz w:val="24"/>
          <w:szCs w:val="24"/>
        </w:rPr>
        <w:t xml:space="preserve">способността да определя приоритети и да се съсредоточава върху тях, както и да проследява и да оценява работата за постигане на поставените цели в сътрудничество с екипа; </w:t>
      </w:r>
    </w:p>
    <w:p w14:paraId="7D7C5CFE" w14:textId="09042BA3" w:rsidR="00C65880" w:rsidRPr="00187667" w:rsidRDefault="00593FF9" w:rsidP="007C2054">
      <w:pPr>
        <w:pStyle w:val="ListParagraph"/>
        <w:numPr>
          <w:ilvl w:val="0"/>
          <w:numId w:val="2"/>
        </w:numPr>
        <w:spacing w:after="120" w:line="240" w:lineRule="auto"/>
        <w:ind w:left="426" w:hanging="426"/>
        <w:jc w:val="both"/>
        <w:rPr>
          <w:rFonts w:ascii="Times New Roman" w:hAnsi="Times New Roman" w:cs="Times New Roman"/>
          <w:b/>
          <w:bCs/>
          <w:sz w:val="24"/>
          <w:szCs w:val="24"/>
        </w:rPr>
      </w:pPr>
      <w:r>
        <w:rPr>
          <w:rFonts w:ascii="Times New Roman" w:hAnsi="Times New Roman"/>
          <w:sz w:val="24"/>
          <w:szCs w:val="24"/>
        </w:rPr>
        <w:t xml:space="preserve">способността да набира и мотивира колеги, които ще допринесат в пълна степен за постигането на целите на Представителството. </w:t>
      </w:r>
    </w:p>
    <w:p w14:paraId="270883BF" w14:textId="77777777" w:rsidR="00C65880" w:rsidRDefault="00C65880" w:rsidP="00475432">
      <w:pPr>
        <w:spacing w:after="120" w:line="240" w:lineRule="auto"/>
        <w:rPr>
          <w:rFonts w:ascii="Times New Roman" w:hAnsi="Times New Roman" w:cs="Times New Roman"/>
          <w:b/>
          <w:bCs/>
          <w:sz w:val="24"/>
          <w:szCs w:val="24"/>
        </w:rPr>
      </w:pPr>
    </w:p>
    <w:p w14:paraId="38CF4187" w14:textId="77777777" w:rsidR="00593FF9" w:rsidRPr="002B10D9" w:rsidRDefault="00593FF9" w:rsidP="001E5BA4">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ПРОВЕЖДАНЕ НА ПРОЦЕДУРАТА </w:t>
      </w:r>
    </w:p>
    <w:p w14:paraId="02119E54" w14:textId="77777777" w:rsidR="00593FF9" w:rsidRP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Процедурата за подбор ще се проведе на три отделни последователни етапа: </w:t>
      </w:r>
    </w:p>
    <w:p w14:paraId="78F3BE86" w14:textId="08784E94" w:rsidR="00593FF9" w:rsidRPr="002B10D9" w:rsidRDefault="008209C6" w:rsidP="002B10D9">
      <w:pPr>
        <w:spacing w:after="120" w:line="240" w:lineRule="auto"/>
        <w:rPr>
          <w:rFonts w:ascii="Times New Roman" w:hAnsi="Times New Roman" w:cs="Times New Roman"/>
          <w:b/>
          <w:bCs/>
          <w:sz w:val="24"/>
          <w:szCs w:val="24"/>
        </w:rPr>
      </w:pPr>
      <w:r>
        <w:rPr>
          <w:rFonts w:ascii="Times New Roman" w:hAnsi="Times New Roman"/>
          <w:b/>
          <w:bCs/>
          <w:sz w:val="24"/>
          <w:szCs w:val="24"/>
        </w:rPr>
        <w:t xml:space="preserve">5.1. </w:t>
      </w:r>
      <w:r>
        <w:rPr>
          <w:rFonts w:ascii="Times New Roman" w:hAnsi="Times New Roman"/>
          <w:b/>
          <w:bCs/>
          <w:sz w:val="24"/>
          <w:szCs w:val="24"/>
          <w:u w:val="single"/>
        </w:rPr>
        <w:t>Предварителен подбор</w:t>
      </w:r>
      <w:r>
        <w:rPr>
          <w:rFonts w:ascii="Times New Roman" w:hAnsi="Times New Roman"/>
          <w:b/>
          <w:bCs/>
          <w:sz w:val="24"/>
          <w:szCs w:val="24"/>
        </w:rPr>
        <w:t xml:space="preserve"> </w:t>
      </w:r>
    </w:p>
    <w:p w14:paraId="39E11BDC" w14:textId="77777777" w:rsidR="00593FF9" w:rsidRP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Комисията за подбор, съставена в съответствие с член 2, буква в) от Решението на Комисията от 16 декември 2013 г. относно политиките за наемане на работа и използване на срочно наети служители, ще направи предварителен подбор на кандидатите въз основа на техните квалификации и професионален опит. </w:t>
      </w:r>
    </w:p>
    <w:p w14:paraId="0BF6972C" w14:textId="0A6B4675" w:rsidR="00593FF9" w:rsidRPr="002B10D9" w:rsidRDefault="008209C6" w:rsidP="002B10D9">
      <w:pPr>
        <w:spacing w:after="120" w:line="240" w:lineRule="auto"/>
        <w:rPr>
          <w:rFonts w:ascii="Times New Roman" w:hAnsi="Times New Roman" w:cs="Times New Roman"/>
          <w:b/>
          <w:bCs/>
          <w:sz w:val="24"/>
          <w:szCs w:val="24"/>
        </w:rPr>
      </w:pPr>
      <w:r>
        <w:rPr>
          <w:rFonts w:ascii="Times New Roman" w:hAnsi="Times New Roman"/>
          <w:b/>
          <w:bCs/>
          <w:sz w:val="24"/>
          <w:szCs w:val="24"/>
        </w:rPr>
        <w:t xml:space="preserve">5.2. </w:t>
      </w:r>
      <w:r>
        <w:rPr>
          <w:rFonts w:ascii="Times New Roman" w:hAnsi="Times New Roman"/>
          <w:b/>
          <w:bCs/>
          <w:sz w:val="24"/>
          <w:szCs w:val="24"/>
          <w:u w:val="single"/>
        </w:rPr>
        <w:t>Допускане</w:t>
      </w:r>
      <w:r>
        <w:rPr>
          <w:rFonts w:ascii="Times New Roman" w:hAnsi="Times New Roman"/>
          <w:b/>
          <w:bCs/>
          <w:sz w:val="24"/>
          <w:szCs w:val="24"/>
        </w:rPr>
        <w:t xml:space="preserve"> </w:t>
      </w:r>
    </w:p>
    <w:p w14:paraId="0E123B12" w14:textId="77777777" w:rsidR="00593FF9" w:rsidRP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Преминалите предварителния подбор кандидати трябва да представят официалните удостоверителни документи, които потвърждават информацията, посочена във формуляра за кандидатстване, а именно: </w:t>
      </w:r>
    </w:p>
    <w:p w14:paraId="6C70CAF9" w14:textId="77777777" w:rsidR="00593FF9" w:rsidRPr="00720F6A" w:rsidRDefault="00593FF9" w:rsidP="00720F6A">
      <w:pPr>
        <w:pStyle w:val="ListParagraph"/>
        <w:numPr>
          <w:ilvl w:val="0"/>
          <w:numId w:val="7"/>
        </w:numPr>
        <w:spacing w:after="240" w:line="240" w:lineRule="auto"/>
        <w:jc w:val="both"/>
        <w:rPr>
          <w:rFonts w:ascii="Times New Roman" w:hAnsi="Times New Roman" w:cs="Times New Roman"/>
          <w:sz w:val="24"/>
          <w:szCs w:val="24"/>
        </w:rPr>
      </w:pPr>
      <w:r>
        <w:rPr>
          <w:rFonts w:ascii="Times New Roman" w:hAnsi="Times New Roman"/>
          <w:sz w:val="24"/>
          <w:szCs w:val="24"/>
        </w:rPr>
        <w:t xml:space="preserve">копие на документ, удостоверяващ тяхното гражданство (лична карта или паспорт); </w:t>
      </w:r>
    </w:p>
    <w:p w14:paraId="3E279D74" w14:textId="77777777" w:rsidR="00593FF9" w:rsidRPr="00720F6A" w:rsidRDefault="00593FF9" w:rsidP="00720F6A">
      <w:pPr>
        <w:pStyle w:val="ListParagraph"/>
        <w:numPr>
          <w:ilvl w:val="0"/>
          <w:numId w:val="7"/>
        </w:numPr>
        <w:spacing w:after="240" w:line="240" w:lineRule="auto"/>
        <w:jc w:val="both"/>
        <w:rPr>
          <w:rFonts w:ascii="Times New Roman" w:hAnsi="Times New Roman" w:cs="Times New Roman"/>
          <w:sz w:val="24"/>
          <w:szCs w:val="24"/>
        </w:rPr>
      </w:pPr>
      <w:r>
        <w:rPr>
          <w:rFonts w:ascii="Times New Roman" w:hAnsi="Times New Roman"/>
          <w:sz w:val="24"/>
          <w:szCs w:val="24"/>
        </w:rPr>
        <w:t xml:space="preserve">копие на дипломата(ите) или удостоверението(ята) за изискваната образователна степен; </w:t>
      </w:r>
    </w:p>
    <w:p w14:paraId="10D053AB" w14:textId="77777777" w:rsidR="00593FF9" w:rsidRPr="00720F6A" w:rsidRDefault="00593FF9" w:rsidP="00720F6A">
      <w:pPr>
        <w:pStyle w:val="ListParagraph"/>
        <w:numPr>
          <w:ilvl w:val="0"/>
          <w:numId w:val="7"/>
        </w:numPr>
        <w:spacing w:after="240" w:line="240" w:lineRule="auto"/>
        <w:jc w:val="both"/>
        <w:rPr>
          <w:rFonts w:ascii="Times New Roman" w:hAnsi="Times New Roman" w:cs="Times New Roman"/>
          <w:sz w:val="24"/>
          <w:szCs w:val="24"/>
        </w:rPr>
      </w:pPr>
      <w:r>
        <w:rPr>
          <w:rFonts w:ascii="Times New Roman" w:hAnsi="Times New Roman"/>
          <w:sz w:val="24"/>
          <w:szCs w:val="24"/>
        </w:rPr>
        <w:t xml:space="preserve">удостоверения за трудов стаж, доказващи продължителността на професионалния опит. </w:t>
      </w:r>
    </w:p>
    <w:p w14:paraId="23268982" w14:textId="77777777" w:rsidR="00593FF9" w:rsidRP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В тези документите трябва да се посочват ясно началото, краят и продължителността на всеки период от професионалния опит, който следва да бъде взет предвид в настоящата процедура за подбор. За тази цел кандидатите следва в идеалния случай да представят удостоверения за трудов стаж от бившите си работодатели и от настоящия си работодател. При липса на такива удостоверения ще бъдат приемани например копия от следните документи: </w:t>
      </w:r>
      <w:r>
        <w:rPr>
          <w:rFonts w:ascii="Times New Roman" w:hAnsi="Times New Roman"/>
          <w:sz w:val="24"/>
          <w:szCs w:val="24"/>
        </w:rPr>
        <w:lastRenderedPageBreak/>
        <w:t xml:space="preserve">трудови договори, придружени от фишовете за първата и последната заплата и фиша за последната месечна заплата за всяка междинна година по договор с продължителност над една година, официални писма или заповеди за назначаване, придружени от фиша за последната заплата, трудова документация, данъчни декларации. </w:t>
      </w:r>
    </w:p>
    <w:p w14:paraId="18761785" w14:textId="77777777" w:rsidR="00593FF9" w:rsidRP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Окончателното приемане на кандидатурата зависи от представянето на необходимите удостоверителни документи. Ако тези документи не бъдат получени до изтичането на посочения краен срок, кандидатурата ще бъде смятана за невалидна. </w:t>
      </w:r>
    </w:p>
    <w:p w14:paraId="05711440" w14:textId="77777777" w:rsidR="00593FF9" w:rsidRP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Избраният кандидат ще трябва на по-късна дата да представи оригиналите на всички документи, които са необходими за целите на удостоверяването. </w:t>
      </w:r>
    </w:p>
    <w:p w14:paraId="5E2280F0" w14:textId="507A9CF1" w:rsidR="00593FF9" w:rsidRPr="002B10D9" w:rsidRDefault="008209C6" w:rsidP="002B10D9">
      <w:pPr>
        <w:spacing w:after="120" w:line="240" w:lineRule="auto"/>
        <w:rPr>
          <w:rFonts w:ascii="Times New Roman" w:hAnsi="Times New Roman" w:cs="Times New Roman"/>
          <w:b/>
          <w:bCs/>
          <w:sz w:val="24"/>
          <w:szCs w:val="24"/>
        </w:rPr>
      </w:pPr>
      <w:r>
        <w:rPr>
          <w:rFonts w:ascii="Times New Roman" w:hAnsi="Times New Roman"/>
          <w:b/>
          <w:bCs/>
          <w:sz w:val="24"/>
          <w:szCs w:val="24"/>
        </w:rPr>
        <w:t xml:space="preserve">5.3 </w:t>
      </w:r>
      <w:r>
        <w:rPr>
          <w:rFonts w:ascii="Times New Roman" w:hAnsi="Times New Roman"/>
          <w:b/>
          <w:bCs/>
          <w:sz w:val="24"/>
          <w:szCs w:val="24"/>
          <w:u w:val="single"/>
        </w:rPr>
        <w:t>Подбор</w:t>
      </w:r>
      <w:r>
        <w:rPr>
          <w:rFonts w:ascii="Times New Roman" w:hAnsi="Times New Roman"/>
          <w:b/>
          <w:bCs/>
          <w:sz w:val="24"/>
          <w:szCs w:val="24"/>
        </w:rPr>
        <w:t xml:space="preserve"> </w:t>
      </w:r>
    </w:p>
    <w:p w14:paraId="6CB95F09" w14:textId="555EE26F" w:rsidR="002B10D9" w:rsidRDefault="00593FF9" w:rsidP="002B10D9">
      <w:pPr>
        <w:spacing w:after="240" w:line="240" w:lineRule="auto"/>
        <w:jc w:val="both"/>
        <w:rPr>
          <w:rFonts w:ascii="Times New Roman" w:hAnsi="Times New Roman" w:cs="Times New Roman"/>
          <w:sz w:val="24"/>
          <w:szCs w:val="24"/>
        </w:rPr>
      </w:pPr>
      <w:r>
        <w:rPr>
          <w:rFonts w:ascii="Times New Roman" w:hAnsi="Times New Roman"/>
          <w:sz w:val="24"/>
          <w:szCs w:val="24"/>
        </w:rPr>
        <w:t xml:space="preserve">Успешно преминалите етапа на допускане кандидати ще бъдат поканени на интервю, за да бъдат оценени и сравнени обективно и безпристрастно въз основа на критериите за подбор в точка 4. </w:t>
      </w:r>
    </w:p>
    <w:p w14:paraId="1E7FD309" w14:textId="77777777" w:rsidR="00593FF9" w:rsidRDefault="00593FF9" w:rsidP="000559BB">
      <w:pPr>
        <w:spacing w:after="240" w:line="240" w:lineRule="auto"/>
        <w:jc w:val="both"/>
        <w:rPr>
          <w:sz w:val="23"/>
          <w:szCs w:val="23"/>
        </w:rPr>
      </w:pPr>
      <w:r>
        <w:rPr>
          <w:rFonts w:ascii="Times New Roman" w:hAnsi="Times New Roman"/>
          <w:sz w:val="24"/>
          <w:szCs w:val="24"/>
        </w:rPr>
        <w:t>С цел процедурата за подбор да приключи възможно най-бързо, което е в интерес както на кандидатите, така и на институцията, процедурата за подбор ще бъде проведена единствено на английски и/или френски език</w:t>
      </w:r>
      <w:r>
        <w:rPr>
          <w:rStyle w:val="FootnoteReference"/>
          <w:rFonts w:ascii="Times New Roman" w:hAnsi="Times New Roman" w:cs="Times New Roman"/>
          <w:sz w:val="24"/>
          <w:szCs w:val="24"/>
        </w:rPr>
        <w:footnoteReference w:id="8"/>
      </w:r>
      <w:r>
        <w:rPr>
          <w:rFonts w:ascii="Times New Roman" w:hAnsi="Times New Roman"/>
          <w:sz w:val="24"/>
          <w:szCs w:val="24"/>
        </w:rPr>
        <w:t>.</w:t>
      </w:r>
    </w:p>
    <w:p w14:paraId="28CFB000" w14:textId="77777777" w:rsidR="00593FF9" w:rsidRDefault="00593FF9" w:rsidP="000559BB">
      <w:pPr>
        <w:pStyle w:val="Default"/>
        <w:jc w:val="both"/>
        <w:rPr>
          <w:color w:val="auto"/>
        </w:rPr>
      </w:pPr>
      <w:r>
        <w:rPr>
          <w:color w:val="auto"/>
        </w:rPr>
        <w:t xml:space="preserve">Списъкът на успешно преминалите през процедурата за подбор кандидати ще бъде валиден за срок от най-много две години. Срокът на валидност на списъка може да бъде удължен. </w:t>
      </w:r>
    </w:p>
    <w:p w14:paraId="429FBE86" w14:textId="77777777" w:rsidR="002B10D9" w:rsidRPr="002B10D9" w:rsidRDefault="002B10D9" w:rsidP="000559BB">
      <w:pPr>
        <w:pStyle w:val="Default"/>
        <w:jc w:val="both"/>
        <w:rPr>
          <w:color w:val="auto"/>
        </w:rPr>
      </w:pPr>
    </w:p>
    <w:p w14:paraId="055D024F" w14:textId="77777777" w:rsidR="00593FF9" w:rsidRDefault="00593FF9" w:rsidP="000559BB">
      <w:pPr>
        <w:pStyle w:val="Default"/>
        <w:jc w:val="both"/>
        <w:rPr>
          <w:color w:val="auto"/>
        </w:rPr>
      </w:pPr>
      <w:r>
        <w:rPr>
          <w:color w:val="auto"/>
        </w:rPr>
        <w:t>Преди да бъдат наети на работа, от кандидатите може да бъде поискано да се явят на център за оценяване, който се провежда в продължение на един ден.</w:t>
      </w:r>
    </w:p>
    <w:p w14:paraId="5C2E4C31" w14:textId="77777777" w:rsidR="002B10D9" w:rsidRPr="002B10D9" w:rsidRDefault="002B10D9" w:rsidP="00593FF9">
      <w:pPr>
        <w:pStyle w:val="Default"/>
        <w:rPr>
          <w:color w:val="auto"/>
        </w:rPr>
      </w:pPr>
    </w:p>
    <w:p w14:paraId="772DD62E" w14:textId="77777777" w:rsidR="00593FF9" w:rsidRPr="002B10D9" w:rsidRDefault="00593FF9" w:rsidP="001E5BA4">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РАВНИ ВЪЗМОЖНОСТИ </w:t>
      </w:r>
    </w:p>
    <w:p w14:paraId="347E8F82" w14:textId="77777777" w:rsidR="00593FF9" w:rsidRDefault="00593FF9" w:rsidP="00D606B3">
      <w:pPr>
        <w:pStyle w:val="Default"/>
        <w:jc w:val="both"/>
        <w:rPr>
          <w:color w:val="auto"/>
          <w:sz w:val="23"/>
          <w:szCs w:val="23"/>
        </w:rPr>
      </w:pPr>
      <w:r>
        <w:rPr>
          <w:color w:val="auto"/>
        </w:rPr>
        <w:t>Европейската комисия прилага политика на равни възможности и недискриминация в съответствие с член 1г от Правилника за длъжностните лица</w:t>
      </w:r>
      <w:r>
        <w:rPr>
          <w:rStyle w:val="FootnoteReference"/>
          <w:color w:val="auto"/>
        </w:rPr>
        <w:footnoteReference w:id="9"/>
      </w:r>
      <w:r>
        <w:rPr>
          <w:color w:val="auto"/>
          <w:sz w:val="23"/>
          <w:szCs w:val="23"/>
        </w:rPr>
        <w:t>.</w:t>
      </w:r>
    </w:p>
    <w:p w14:paraId="76543E2C" w14:textId="77777777" w:rsidR="002B10D9" w:rsidRPr="002B10D9" w:rsidRDefault="002B10D9" w:rsidP="00593FF9">
      <w:pPr>
        <w:pStyle w:val="Default"/>
        <w:rPr>
          <w:color w:val="auto"/>
        </w:rPr>
      </w:pPr>
    </w:p>
    <w:p w14:paraId="18E216EC" w14:textId="77777777" w:rsidR="00593FF9" w:rsidRPr="002B10D9" w:rsidRDefault="00593FF9" w:rsidP="001E5BA4">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КАНДИДАТУРИ </w:t>
      </w:r>
    </w:p>
    <w:p w14:paraId="349615CE" w14:textId="77777777" w:rsidR="002B10D9" w:rsidRDefault="00593FF9" w:rsidP="000559BB">
      <w:pPr>
        <w:pStyle w:val="Default"/>
        <w:jc w:val="both"/>
        <w:rPr>
          <w:color w:val="auto"/>
        </w:rPr>
      </w:pPr>
      <w:r>
        <w:rPr>
          <w:color w:val="auto"/>
        </w:rPr>
        <w:t>Преди да подадете кандидатурата си, трябва внимателно да проверите дали отговаряте на всички специални условия, посочени в точка 3.2.</w:t>
      </w:r>
    </w:p>
    <w:p w14:paraId="7CCF50E8" w14:textId="77777777" w:rsidR="00593FF9" w:rsidRPr="002B10D9" w:rsidRDefault="000E0C7D" w:rsidP="000559BB">
      <w:pPr>
        <w:pStyle w:val="Default"/>
        <w:jc w:val="both"/>
        <w:rPr>
          <w:color w:val="auto"/>
        </w:rPr>
      </w:pPr>
      <w:r>
        <w:rPr>
          <w:color w:val="auto"/>
        </w:rPr>
        <w:t xml:space="preserve">Ако желаете да кандидатствате, трябва да се регистрирате по интернет на следния уебсайт и да следвате указанията относно различните етапи на процедурата: </w:t>
      </w:r>
      <w:hyperlink r:id="rId8" w:history="1">
        <w:r>
          <w:rPr>
            <w:rStyle w:val="Hyperlink"/>
          </w:rPr>
          <w:t>https://ec.europa.eu/dgs/human-resources/seniormanagementvacancies/</w:t>
        </w:r>
      </w:hyperlink>
      <w:r>
        <w:rPr>
          <w:color w:val="auto"/>
        </w:rPr>
        <w:t xml:space="preserve"> </w:t>
      </w:r>
    </w:p>
    <w:p w14:paraId="385FC2A7" w14:textId="77777777" w:rsidR="00B27AD2" w:rsidRDefault="00B27AD2" w:rsidP="000559BB">
      <w:pPr>
        <w:pStyle w:val="Default"/>
        <w:jc w:val="both"/>
        <w:rPr>
          <w:color w:val="auto"/>
        </w:rPr>
      </w:pPr>
    </w:p>
    <w:p w14:paraId="4CBB4993" w14:textId="77777777" w:rsidR="00593FF9" w:rsidRDefault="00593FF9" w:rsidP="000559BB">
      <w:pPr>
        <w:pStyle w:val="Default"/>
        <w:jc w:val="both"/>
        <w:rPr>
          <w:color w:val="auto"/>
        </w:rPr>
      </w:pPr>
      <w:r>
        <w:rPr>
          <w:color w:val="auto"/>
        </w:rPr>
        <w:t>Трябва да имате валиден адрес на електронна поща. Този адрес ще бъде използван за потвърждаване на Вашата регистрация и за поддържане на връзка с Вас на различните етапи от процедурата. Поради това, моля, уведомявайте Европейската комисия за всяка промяна на Вашия адрес на електронна поща.</w:t>
      </w:r>
    </w:p>
    <w:p w14:paraId="48025C20" w14:textId="77777777" w:rsidR="00B27AD2" w:rsidRPr="002B10D9" w:rsidRDefault="00B27AD2" w:rsidP="000559BB">
      <w:pPr>
        <w:pStyle w:val="Default"/>
        <w:jc w:val="both"/>
        <w:rPr>
          <w:color w:val="auto"/>
        </w:rPr>
      </w:pPr>
    </w:p>
    <w:p w14:paraId="1D951BA8" w14:textId="77777777" w:rsidR="00593FF9" w:rsidRDefault="00593FF9" w:rsidP="000559BB">
      <w:pPr>
        <w:pStyle w:val="Default"/>
        <w:jc w:val="both"/>
        <w:rPr>
          <w:color w:val="auto"/>
        </w:rPr>
      </w:pPr>
      <w:r>
        <w:rPr>
          <w:color w:val="auto"/>
        </w:rPr>
        <w:lastRenderedPageBreak/>
        <w:t>За да попълните своята кандидатура, трябва да заредите автобиографията си във формат PDF и да попълните онлайн мотивационно писмо (максимум 8 000 знака). Вашата автобиография и мотивационното Ви писмо могат да бъдат на който и да е официален език на Европейския съюз.</w:t>
      </w:r>
    </w:p>
    <w:p w14:paraId="7C52C250" w14:textId="77777777" w:rsidR="00B27AD2" w:rsidRPr="002B10D9" w:rsidRDefault="00B27AD2" w:rsidP="000559BB">
      <w:pPr>
        <w:pStyle w:val="Default"/>
        <w:jc w:val="both"/>
        <w:rPr>
          <w:color w:val="auto"/>
        </w:rPr>
      </w:pPr>
    </w:p>
    <w:p w14:paraId="0DF55F71" w14:textId="77777777" w:rsidR="00593FF9" w:rsidRPr="000559BB" w:rsidRDefault="00593FF9" w:rsidP="000559BB">
      <w:pPr>
        <w:pStyle w:val="Default"/>
        <w:jc w:val="both"/>
        <w:rPr>
          <w:b/>
          <w:color w:val="auto"/>
        </w:rPr>
      </w:pPr>
      <w:r>
        <w:rPr>
          <w:color w:val="auto"/>
        </w:rPr>
        <w:t xml:space="preserve">След като приключите онлайн регистрацията, ще получите електронно писмо с потвърждение, че Вашата кандидатура е регистрирана. </w:t>
      </w:r>
      <w:r>
        <w:rPr>
          <w:b/>
          <w:color w:val="auto"/>
        </w:rPr>
        <w:t>Ако не получите електронно писмо с потвърждение, Вашата кандидатура не е регистрирана!</w:t>
      </w:r>
    </w:p>
    <w:p w14:paraId="195B2694" w14:textId="77777777" w:rsidR="00B27AD2" w:rsidRPr="002B10D9" w:rsidRDefault="00B27AD2" w:rsidP="000559BB">
      <w:pPr>
        <w:pStyle w:val="Default"/>
        <w:jc w:val="both"/>
        <w:rPr>
          <w:color w:val="auto"/>
        </w:rPr>
      </w:pPr>
    </w:p>
    <w:p w14:paraId="58E3BBE7" w14:textId="77777777" w:rsidR="00593FF9" w:rsidRDefault="00593FF9" w:rsidP="000559BB">
      <w:pPr>
        <w:pStyle w:val="Default"/>
        <w:jc w:val="both"/>
        <w:rPr>
          <w:color w:val="auto"/>
        </w:rPr>
      </w:pPr>
      <w:r>
        <w:rPr>
          <w:color w:val="auto"/>
        </w:rPr>
        <w:t>Моля, обърнете внимание, че не е възможно да следите развитието на Вашата кандидатура онлайн. Европейската комисия ще се свърже директно с Вас относно състоянието на Вашата кандидатура.</w:t>
      </w:r>
    </w:p>
    <w:p w14:paraId="33AC7957" w14:textId="77777777" w:rsidR="00B27AD2" w:rsidRPr="002B10D9" w:rsidRDefault="00B27AD2" w:rsidP="000559BB">
      <w:pPr>
        <w:pStyle w:val="Default"/>
        <w:jc w:val="both"/>
        <w:rPr>
          <w:color w:val="auto"/>
        </w:rPr>
      </w:pPr>
    </w:p>
    <w:p w14:paraId="7AB7D213" w14:textId="77777777" w:rsidR="00593FF9" w:rsidRDefault="00593FF9" w:rsidP="000559BB">
      <w:pPr>
        <w:pStyle w:val="Default"/>
        <w:jc w:val="both"/>
        <w:rPr>
          <w:color w:val="auto"/>
        </w:rPr>
      </w:pPr>
      <w:r>
        <w:rPr>
          <w:color w:val="auto"/>
        </w:rPr>
        <w:t xml:space="preserve">За повече информация и/или при евентуални технически проблеми изпратете електронно писмо на адрес: </w:t>
      </w:r>
      <w:hyperlink r:id="rId9" w:history="1">
        <w:r>
          <w:rPr>
            <w:rStyle w:val="Hyperlink"/>
          </w:rPr>
          <w:t>HR-MANAGEMENT-ONLINE@ec.europa.eu</w:t>
        </w:r>
      </w:hyperlink>
    </w:p>
    <w:p w14:paraId="79030A13" w14:textId="77777777" w:rsidR="00B27AD2" w:rsidRPr="002B10D9" w:rsidRDefault="00B27AD2" w:rsidP="00593FF9">
      <w:pPr>
        <w:pStyle w:val="Default"/>
        <w:rPr>
          <w:color w:val="auto"/>
        </w:rPr>
      </w:pPr>
    </w:p>
    <w:p w14:paraId="04A67FC1" w14:textId="77777777" w:rsidR="00B27AD2" w:rsidRPr="00B27AD2" w:rsidRDefault="00593FF9" w:rsidP="001E5BA4">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КРАЕН СРОК </w:t>
      </w:r>
    </w:p>
    <w:p w14:paraId="027FC48B" w14:textId="3CD704FB" w:rsidR="00593FF9" w:rsidRDefault="00593FF9" w:rsidP="000559BB">
      <w:pPr>
        <w:pStyle w:val="Default"/>
        <w:jc w:val="both"/>
        <w:rPr>
          <w:color w:val="auto"/>
        </w:rPr>
      </w:pPr>
      <w:r>
        <w:rPr>
          <w:color w:val="auto"/>
        </w:rPr>
        <w:t xml:space="preserve">Крайният срок за регистрация е </w:t>
      </w:r>
      <w:r>
        <w:rPr>
          <w:b/>
          <w:color w:val="auto"/>
        </w:rPr>
        <w:t>16 октомври 2020 г. в 12,00 ч.</w:t>
      </w:r>
      <w:r>
        <w:rPr>
          <w:color w:val="auto"/>
        </w:rPr>
        <w:t xml:space="preserve"> на обяд брюкселско време, след което регистрацията повече няма да бъде възможна.</w:t>
      </w:r>
    </w:p>
    <w:p w14:paraId="7AA3A929" w14:textId="77777777" w:rsidR="00B27AD2" w:rsidRPr="00B27AD2" w:rsidRDefault="00B27AD2" w:rsidP="000559BB">
      <w:pPr>
        <w:pStyle w:val="Default"/>
        <w:jc w:val="both"/>
        <w:rPr>
          <w:color w:val="auto"/>
        </w:rPr>
      </w:pPr>
    </w:p>
    <w:p w14:paraId="739D9197" w14:textId="77777777" w:rsidR="00593FF9" w:rsidRDefault="00593FF9" w:rsidP="000559BB">
      <w:pPr>
        <w:pStyle w:val="Default"/>
        <w:jc w:val="both"/>
        <w:rPr>
          <w:color w:val="auto"/>
        </w:rPr>
      </w:pPr>
      <w:r>
        <w:rPr>
          <w:color w:val="auto"/>
        </w:rPr>
        <w:t>Ваша е отговорността да попълните онлайн регистрацията в срок. Настоятелно Ви съветваме да не изчаквате до последните дни, за да кандидатствате — натоварен интернет трафик или проблем с интернет връзката може да доведе до прекъсване на онлайн регистрацията, преди да сте я завършили, поради което ще се наложи да повторите целия процес отначало. След изтичане на срока за регистрация повече няма да имате възможност да въвеждате данни. Закъснели регистрации няма да бъдат приемани.</w:t>
      </w:r>
    </w:p>
    <w:p w14:paraId="7EE73CD2" w14:textId="77777777" w:rsidR="00720F6A" w:rsidRDefault="00720F6A">
      <w:pPr>
        <w:rPr>
          <w:rFonts w:ascii="Times New Roman" w:hAnsi="Times New Roman" w:cs="Times New Roman"/>
          <w:sz w:val="24"/>
          <w:szCs w:val="24"/>
        </w:rPr>
      </w:pPr>
    </w:p>
    <w:p w14:paraId="081544F2" w14:textId="77777777" w:rsidR="00593FF9" w:rsidRPr="00B27AD2" w:rsidRDefault="00593FF9" w:rsidP="001E5BA4">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ДОПЪЛНИТЕЛНА ИНФОРМАЦИЯ </w:t>
      </w:r>
    </w:p>
    <w:p w14:paraId="3302A6BF" w14:textId="4DAF6133" w:rsidR="00593FF9" w:rsidRDefault="00593FF9" w:rsidP="00B85358">
      <w:pPr>
        <w:pStyle w:val="Default"/>
        <w:jc w:val="both"/>
        <w:rPr>
          <w:color w:val="auto"/>
        </w:rPr>
      </w:pPr>
      <w:r>
        <w:rPr>
          <w:color w:val="auto"/>
        </w:rPr>
        <w:t>Настоящото обявление за подбор на кандидати се публикува на 24-те официални езика на Европейския съюз на уебсайтовете на Генерална дирекция „Комуникации“ и Европейската служба за подбор на персонал (EPSO).</w:t>
      </w:r>
    </w:p>
    <w:p w14:paraId="07C3B506" w14:textId="77777777" w:rsidR="00B27AD2" w:rsidRPr="00B27AD2" w:rsidRDefault="00B27AD2" w:rsidP="00B85358">
      <w:pPr>
        <w:pStyle w:val="Default"/>
        <w:jc w:val="both"/>
        <w:rPr>
          <w:color w:val="auto"/>
        </w:rPr>
      </w:pPr>
    </w:p>
    <w:p w14:paraId="7A044D2A" w14:textId="77777777" w:rsidR="00593FF9" w:rsidRDefault="00593FF9" w:rsidP="00B85358">
      <w:pPr>
        <w:pStyle w:val="Default"/>
        <w:jc w:val="both"/>
        <w:rPr>
          <w:color w:val="auto"/>
        </w:rPr>
      </w:pPr>
      <w:r>
        <w:rPr>
          <w:color w:val="auto"/>
        </w:rPr>
        <w:t xml:space="preserve">На кандидатите се напомня, че работата на различните комисии за подбор е поверителна. На кандидатите и на всяко друго лице, действащо от тяхно име, се забранява да осъществяват пряк или непряк контакт с членове на тези комисии. Всички запитвания трябва да бъдат адресирани до секретариата на съответната комисия. </w:t>
      </w:r>
    </w:p>
    <w:p w14:paraId="121147FC" w14:textId="77777777" w:rsidR="00B27AD2" w:rsidRPr="00B27AD2" w:rsidRDefault="00B27AD2" w:rsidP="00593FF9">
      <w:pPr>
        <w:pStyle w:val="Default"/>
        <w:rPr>
          <w:color w:val="auto"/>
        </w:rPr>
      </w:pPr>
    </w:p>
    <w:p w14:paraId="3C034E9C" w14:textId="77777777" w:rsidR="00593FF9" w:rsidRPr="00B27AD2" w:rsidRDefault="00593FF9" w:rsidP="001E5BA4">
      <w:pPr>
        <w:pStyle w:val="ListParagraph"/>
        <w:numPr>
          <w:ilvl w:val="0"/>
          <w:numId w:val="6"/>
        </w:numPr>
        <w:spacing w:after="120" w:line="240" w:lineRule="auto"/>
        <w:rPr>
          <w:rFonts w:ascii="Times New Roman" w:hAnsi="Times New Roman" w:cs="Times New Roman"/>
          <w:b/>
          <w:sz w:val="24"/>
          <w:szCs w:val="24"/>
        </w:rPr>
      </w:pPr>
      <w:r>
        <w:rPr>
          <w:rFonts w:ascii="Times New Roman" w:hAnsi="Times New Roman"/>
          <w:b/>
          <w:sz w:val="24"/>
          <w:szCs w:val="24"/>
        </w:rPr>
        <w:t xml:space="preserve">ЗАЩИТА НА ЛИЧНИТЕ ДАННИ </w:t>
      </w:r>
    </w:p>
    <w:p w14:paraId="65EB9C1F" w14:textId="77777777" w:rsidR="00593FF9" w:rsidRPr="00B27AD2" w:rsidRDefault="00593FF9" w:rsidP="00B85358">
      <w:pPr>
        <w:pStyle w:val="Default"/>
        <w:jc w:val="both"/>
        <w:rPr>
          <w:color w:val="auto"/>
        </w:rPr>
      </w:pPr>
      <w:r>
        <w:t>Комисията гарантира, че личните данни на кандидатите се обработват в съответствие с 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w:t>
      </w:r>
      <w:r>
        <w:rPr>
          <w:rStyle w:val="FootnoteReference"/>
          <w:color w:val="auto"/>
        </w:rPr>
        <w:footnoteReference w:id="10"/>
      </w:r>
      <w:r>
        <w:t>.</w:t>
      </w:r>
      <w:r>
        <w:rPr>
          <w:color w:val="auto"/>
        </w:rPr>
        <w:t xml:space="preserve"> Това се отнася по-специално до поверителността и сигурността на тези данни.</w:t>
      </w:r>
    </w:p>
    <w:sectPr w:rsidR="00593FF9" w:rsidRPr="00B27AD2" w:rsidSect="000D5188">
      <w:footerReference w:type="default" r:id="rId10"/>
      <w:pgSz w:w="11906" w:h="16838" w:code="9"/>
      <w:pgMar w:top="1134" w:right="1814"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66E19" w14:textId="77777777" w:rsidR="0091217D" w:rsidRDefault="0091217D" w:rsidP="00777B51">
      <w:pPr>
        <w:spacing w:after="0" w:line="240" w:lineRule="auto"/>
      </w:pPr>
      <w:r>
        <w:separator/>
      </w:r>
    </w:p>
  </w:endnote>
  <w:endnote w:type="continuationSeparator" w:id="0">
    <w:p w14:paraId="19A4A94E" w14:textId="77777777" w:rsidR="0091217D" w:rsidRDefault="0091217D" w:rsidP="0077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98494"/>
      <w:docPartObj>
        <w:docPartGallery w:val="Page Numbers (Bottom of Page)"/>
        <w:docPartUnique/>
      </w:docPartObj>
    </w:sdtPr>
    <w:sdtEndPr>
      <w:rPr>
        <w:noProof/>
        <w:sz w:val="16"/>
        <w:szCs w:val="16"/>
      </w:rPr>
    </w:sdtEndPr>
    <w:sdtContent>
      <w:p w14:paraId="18D3DCD5" w14:textId="3D02D953" w:rsidR="006A0F98" w:rsidRPr="000D5188" w:rsidRDefault="006A0F98">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77013E">
          <w:rPr>
            <w:noProof/>
            <w:sz w:val="16"/>
            <w:szCs w:val="16"/>
          </w:rPr>
          <w:t>1</w:t>
        </w:r>
        <w:r>
          <w:rPr>
            <w:sz w:val="16"/>
            <w:szCs w:val="16"/>
          </w:rPr>
          <w:fldChar w:fldCharType="end"/>
        </w:r>
      </w:p>
    </w:sdtContent>
  </w:sdt>
  <w:p w14:paraId="12CB9A11" w14:textId="77777777" w:rsidR="006A0F98" w:rsidRDefault="006A0F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323AB" w14:textId="77777777" w:rsidR="0091217D" w:rsidRDefault="0091217D" w:rsidP="00777B51">
      <w:pPr>
        <w:spacing w:after="0" w:line="240" w:lineRule="auto"/>
      </w:pPr>
      <w:r>
        <w:separator/>
      </w:r>
    </w:p>
  </w:footnote>
  <w:footnote w:type="continuationSeparator" w:id="0">
    <w:p w14:paraId="369B8B0E" w14:textId="77777777" w:rsidR="0091217D" w:rsidRDefault="0091217D" w:rsidP="00777B51">
      <w:pPr>
        <w:spacing w:after="0" w:line="240" w:lineRule="auto"/>
      </w:pPr>
      <w:r>
        <w:continuationSeparator/>
      </w:r>
    </w:p>
  </w:footnote>
  <w:footnote w:id="1">
    <w:p w14:paraId="0CA6A30B" w14:textId="77777777" w:rsidR="006A0F98" w:rsidRPr="00D606B3" w:rsidRDefault="006A0F98" w:rsidP="00D606B3">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hyperlink r:id="rId1" w:history="1">
        <w:r>
          <w:rPr>
            <w:rFonts w:ascii="Times New Roman" w:hAnsi="Times New Roman"/>
            <w:color w:val="0000FF"/>
            <w:sz w:val="16"/>
            <w:szCs w:val="16"/>
            <w:u w:val="single"/>
          </w:rPr>
          <w:t>http://eurlex.europa.eu/LexUriServ/LexUriServ.do?uri=CONSLEG:1962R0031:20140101:bg:PDF</w:t>
        </w:r>
      </w:hyperlink>
    </w:p>
  </w:footnote>
  <w:footnote w:id="2">
    <w:p w14:paraId="6FC99065" w14:textId="77777777" w:rsidR="006A0F98" w:rsidRPr="00720F6A" w:rsidRDefault="006A0F98" w:rsidP="00720F6A">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sz w:val="16"/>
            <w:szCs w:val="16"/>
          </w:rPr>
          <w:t>https://ec.europa.eu/info/sites/info/files/jobs_at_the_european_commission/job_opportunities/documents/commission-decision-temporary-agents-c-2013-9049-en.pdf</w:t>
        </w:r>
      </w:hyperlink>
    </w:p>
  </w:footnote>
  <w:footnote w:id="3">
    <w:p w14:paraId="22B563C3" w14:textId="77777777" w:rsidR="006A0F98" w:rsidRPr="000206A0" w:rsidRDefault="006A0F98">
      <w:pPr>
        <w:pStyle w:val="FootnoteText"/>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sz w:val="16"/>
            <w:szCs w:val="16"/>
          </w:rPr>
          <w:t>https://ec.europa.eu/info/sites/info/files/jobs_at_the_european_commission/job_opportunities/documents/commission-decision-maximum-duration-non-permanent-staff-c-2013-9028-en.pdf</w:t>
        </w:r>
      </w:hyperlink>
      <w:r>
        <w:rPr>
          <w:rFonts w:ascii="Times New Roman" w:hAnsi="Times New Roman"/>
          <w:sz w:val="16"/>
          <w:szCs w:val="16"/>
        </w:rPr>
        <w:t xml:space="preserve"> </w:t>
      </w:r>
    </w:p>
  </w:footnote>
  <w:footnote w:id="4">
    <w:p w14:paraId="23C0E710" w14:textId="77777777" w:rsidR="006A0F98" w:rsidRPr="000206A0" w:rsidRDefault="006A0F98">
      <w:pPr>
        <w:pStyle w:val="FootnoteText"/>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sz w:val="16"/>
            <w:szCs w:val="16"/>
          </w:rPr>
          <w:t>https://ec.europa.eu/transparency/regdoc/rep/3/2008/EN/C-2008-3983-F1-EN-MAIN-PART-1.PDF</w:t>
        </w:r>
      </w:hyperlink>
    </w:p>
  </w:footnote>
  <w:footnote w:id="5">
    <w:p w14:paraId="57233BF8" w14:textId="04ACF794" w:rsidR="003108ED" w:rsidRPr="00187667" w:rsidRDefault="003108ED">
      <w:pPr>
        <w:pStyle w:val="FootnoteText"/>
      </w:pPr>
      <w:r>
        <w:rPr>
          <w:rStyle w:val="FootnoteReference"/>
        </w:rPr>
        <w:footnoteRef/>
      </w:r>
      <w:r>
        <w:t xml:space="preserve"> </w:t>
      </w:r>
      <w:r>
        <w:rPr>
          <w:sz w:val="18"/>
          <w:szCs w:val="18"/>
        </w:rPr>
        <w:t>Професионалният опит се взема под внимание само ако представлява действителни работни отношения, определени като реална, истинска работа, на платена основа и като служител (на всякакъв вид договор) или доставчик на услуги. Професионалните дейности на непълно работно време се изчисляват пропорционално на базата на удостоверения процент от часове работа на пълно работно време. Отпуск по майчинство/родителски отпуск/отпуск за осиновяване се взема предвид, ако е в рамките на трудов договор.  Докторантурите се приравняват към професионален опит, дори когато са неплатени, но за период от максимум три години, при условие че докторантурата е успешно завършена. Даден период може да се отчита само веднъж.</w:t>
      </w:r>
    </w:p>
  </w:footnote>
  <w:footnote w:id="6">
    <w:p w14:paraId="4DD2764A" w14:textId="6F2E93DD" w:rsidR="003108ED" w:rsidRPr="00556A58" w:rsidRDefault="003108ED" w:rsidP="003108ED">
      <w:pPr>
        <w:pStyle w:val="FootnoteText"/>
        <w:ind w:left="284" w:hanging="284"/>
        <w:jc w:val="both"/>
        <w:rPr>
          <w:rFonts w:ascii="Arial" w:hAnsi="Arial" w:cs="Arial"/>
          <w:sz w:val="16"/>
          <w:szCs w:val="16"/>
        </w:rPr>
      </w:pPr>
      <w:r>
        <w:rPr>
          <w:rStyle w:val="FootnoteReference"/>
        </w:rPr>
        <w:footnoteRef/>
      </w:r>
      <w:r>
        <w:t xml:space="preserve"> </w:t>
      </w:r>
      <w:r>
        <w:rPr>
          <w:rFonts w:ascii="Arial" w:hAnsi="Arial"/>
          <w:sz w:val="16"/>
          <w:szCs w:val="16"/>
        </w:rPr>
        <w:t xml:space="preserve">В автобиографията си кандидатите трябва ясно да посочат за всичките години, през които са придобили управленски опит: 1) наименованието и естеството на заеманите ръководни длъжности; 2) броя на подчинените служители за тези длъжности; </w:t>
      </w:r>
    </w:p>
    <w:p w14:paraId="70BF6ADE" w14:textId="42257E78" w:rsidR="003108ED" w:rsidRPr="003108ED" w:rsidRDefault="003108ED">
      <w:pPr>
        <w:pStyle w:val="FootnoteText"/>
      </w:pPr>
    </w:p>
  </w:footnote>
  <w:footnote w:id="7">
    <w:p w14:paraId="13D7BC3B" w14:textId="77777777" w:rsidR="003108ED" w:rsidRPr="00704C1B" w:rsidRDefault="003108ED" w:rsidP="003108ED">
      <w:pPr>
        <w:pStyle w:val="FootnoteText"/>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sz w:val="16"/>
            <w:szCs w:val="16"/>
          </w:rPr>
          <w:t>https://eur-lex.europa.eu/legal-content/BG/TXT/PDF/?uri=CELEX:01958R0001-20130701&amp;qid=1408533709461&amp;from=BG</w:t>
        </w:r>
      </w:hyperlink>
      <w:r>
        <w:rPr>
          <w:rFonts w:ascii="Times New Roman" w:hAnsi="Times New Roman"/>
          <w:sz w:val="16"/>
          <w:szCs w:val="16"/>
        </w:rPr>
        <w:t xml:space="preserve"> </w:t>
      </w:r>
    </w:p>
  </w:footnote>
  <w:footnote w:id="8">
    <w:p w14:paraId="08498302" w14:textId="77777777" w:rsidR="006A0F98" w:rsidRPr="009D05D1" w:rsidRDefault="006A0F98">
      <w:pPr>
        <w:pStyle w:val="FootnoteText"/>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6"/>
          <w:szCs w:val="16"/>
        </w:rPr>
        <w:t xml:space="preserve">Комисията за подбор ще гарантира, че не се предоставя неправомерно предимство на кандидатите, чийто майчин език е един от тези езици.  </w:t>
      </w:r>
    </w:p>
  </w:footnote>
  <w:footnote w:id="9">
    <w:p w14:paraId="07339E53" w14:textId="77777777" w:rsidR="006A0F98" w:rsidRPr="009D05D1" w:rsidRDefault="006A0F98">
      <w:pPr>
        <w:pStyle w:val="FootnoteText"/>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sz w:val="16"/>
            <w:szCs w:val="16"/>
          </w:rPr>
          <w:t>https://eur-lex.europa.eu/legal-content/BG/TXT/PDF/?uri=CELEX:01962R0031-20140701&amp;from=BG</w:t>
        </w:r>
      </w:hyperlink>
      <w:r>
        <w:rPr>
          <w:rFonts w:ascii="Times New Roman" w:hAnsi="Times New Roman"/>
          <w:sz w:val="16"/>
          <w:szCs w:val="16"/>
        </w:rPr>
        <w:t xml:space="preserve"> </w:t>
      </w:r>
    </w:p>
  </w:footnote>
  <w:footnote w:id="10">
    <w:p w14:paraId="624D8B46" w14:textId="77777777" w:rsidR="006A0F98" w:rsidRPr="009D05D1" w:rsidRDefault="006A0F98">
      <w:pPr>
        <w:pStyle w:val="FootnoteText"/>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6"/>
          <w:szCs w:val="16"/>
        </w:rPr>
        <w:t xml:space="preserve">OВ L 295, 21.11.2018 г., стр.39.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697F"/>
    <w:multiLevelType w:val="hybridMultilevel"/>
    <w:tmpl w:val="F72042CA"/>
    <w:lvl w:ilvl="0" w:tplc="50EE3644">
      <w:start w:val="1"/>
      <w:numFmt w:val="bullet"/>
      <w:lvlText w:val=""/>
      <w:lvlJc w:val="left"/>
      <w:pPr>
        <w:ind w:left="360" w:hanging="360"/>
      </w:pPr>
      <w:rPr>
        <w:rFonts w:ascii="Symbol" w:hAnsi="Symbol" w:hint="default"/>
        <w:b w:val="0"/>
        <w:i w:val="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A20C05"/>
    <w:multiLevelType w:val="hybridMultilevel"/>
    <w:tmpl w:val="CC789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92627"/>
    <w:multiLevelType w:val="hybridMultilevel"/>
    <w:tmpl w:val="A02E9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2367BA"/>
    <w:multiLevelType w:val="hybridMultilevel"/>
    <w:tmpl w:val="DFC05D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726600"/>
    <w:multiLevelType w:val="hybridMultilevel"/>
    <w:tmpl w:val="D1286DC8"/>
    <w:lvl w:ilvl="0" w:tplc="50EE3644">
      <w:start w:val="1"/>
      <w:numFmt w:val="bullet"/>
      <w:lvlText w:val=""/>
      <w:lvlJc w:val="left"/>
      <w:pPr>
        <w:ind w:left="360" w:hanging="360"/>
      </w:pPr>
      <w:rPr>
        <w:rFonts w:ascii="Symbol" w:hAnsi="Symbol" w:hint="default"/>
        <w:b w:val="0"/>
        <w:i w:val="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767A91"/>
    <w:multiLevelType w:val="hybridMultilevel"/>
    <w:tmpl w:val="C60EC4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515A65"/>
    <w:multiLevelType w:val="hybridMultilevel"/>
    <w:tmpl w:val="5742141C"/>
    <w:lvl w:ilvl="0" w:tplc="CE6EDF6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852E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A33EFC"/>
    <w:multiLevelType w:val="hybridMultilevel"/>
    <w:tmpl w:val="E1A065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137CE8"/>
    <w:multiLevelType w:val="hybridMultilevel"/>
    <w:tmpl w:val="4E72D354"/>
    <w:lvl w:ilvl="0" w:tplc="F03A6806">
      <w:start w:val="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73A5BC9"/>
    <w:multiLevelType w:val="hybridMultilevel"/>
    <w:tmpl w:val="F86AB67A"/>
    <w:lvl w:ilvl="0" w:tplc="29867062">
      <w:start w:val="1"/>
      <w:numFmt w:val="decimal"/>
      <w:lvlText w:val="4.%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2"/>
  </w:num>
  <w:num w:numId="5">
    <w:abstractNumId w:val="9"/>
  </w:num>
  <w:num w:numId="6">
    <w:abstractNumId w:val="4"/>
  </w:num>
  <w:num w:numId="7">
    <w:abstractNumId w:val="7"/>
  </w:num>
  <w:num w:numId="8">
    <w:abstractNumId w:val="10"/>
  </w:num>
  <w:num w:numId="9">
    <w:abstractNumId w:val="1"/>
  </w:num>
  <w:num w:numId="10">
    <w:abstractNumId w:val="1"/>
  </w:num>
  <w:num w:numId="11">
    <w:abstractNumId w:val="1"/>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93FF9"/>
    <w:rsid w:val="000206A0"/>
    <w:rsid w:val="000559BB"/>
    <w:rsid w:val="000B224E"/>
    <w:rsid w:val="000D08C9"/>
    <w:rsid w:val="000D5188"/>
    <w:rsid w:val="000E0C7D"/>
    <w:rsid w:val="00126D56"/>
    <w:rsid w:val="00152961"/>
    <w:rsid w:val="0017002C"/>
    <w:rsid w:val="00187667"/>
    <w:rsid w:val="001A1418"/>
    <w:rsid w:val="001A209D"/>
    <w:rsid w:val="001E5BA4"/>
    <w:rsid w:val="002075ED"/>
    <w:rsid w:val="00216D8D"/>
    <w:rsid w:val="002B10D9"/>
    <w:rsid w:val="00307ABD"/>
    <w:rsid w:val="003108ED"/>
    <w:rsid w:val="00475432"/>
    <w:rsid w:val="00593FF9"/>
    <w:rsid w:val="005E4E76"/>
    <w:rsid w:val="005F33F8"/>
    <w:rsid w:val="006A0F98"/>
    <w:rsid w:val="006F3B9B"/>
    <w:rsid w:val="00720F6A"/>
    <w:rsid w:val="007564CF"/>
    <w:rsid w:val="0077013E"/>
    <w:rsid w:val="00777B51"/>
    <w:rsid w:val="00780650"/>
    <w:rsid w:val="00790A44"/>
    <w:rsid w:val="008209C6"/>
    <w:rsid w:val="008437F9"/>
    <w:rsid w:val="0091217D"/>
    <w:rsid w:val="0096706E"/>
    <w:rsid w:val="009D05D1"/>
    <w:rsid w:val="00A57278"/>
    <w:rsid w:val="00A751CD"/>
    <w:rsid w:val="00B27AD2"/>
    <w:rsid w:val="00B67EF0"/>
    <w:rsid w:val="00B85358"/>
    <w:rsid w:val="00C04196"/>
    <w:rsid w:val="00C4483C"/>
    <w:rsid w:val="00C65880"/>
    <w:rsid w:val="00D34266"/>
    <w:rsid w:val="00D606B3"/>
    <w:rsid w:val="00DC640A"/>
    <w:rsid w:val="00F37D80"/>
    <w:rsid w:val="00F8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9835"/>
  <w15:docId w15:val="{D9FA02AC-C56C-44B8-B144-A21AEC99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3F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93FF9"/>
    <w:pPr>
      <w:ind w:left="720"/>
      <w:contextualSpacing/>
    </w:pPr>
  </w:style>
  <w:style w:type="paragraph" w:styleId="FootnoteText">
    <w:name w:val="footnote text"/>
    <w:basedOn w:val="Normal"/>
    <w:link w:val="FootnoteTextChar"/>
    <w:semiHidden/>
    <w:unhideWhenUsed/>
    <w:rsid w:val="00777B51"/>
    <w:pPr>
      <w:spacing w:after="0" w:line="240" w:lineRule="auto"/>
    </w:pPr>
    <w:rPr>
      <w:sz w:val="20"/>
      <w:szCs w:val="20"/>
    </w:rPr>
  </w:style>
  <w:style w:type="character" w:customStyle="1" w:styleId="FootnoteTextChar">
    <w:name w:val="Footnote Text Char"/>
    <w:basedOn w:val="DefaultParagraphFont"/>
    <w:link w:val="FootnoteText"/>
    <w:semiHidden/>
    <w:rsid w:val="00777B51"/>
    <w:rPr>
      <w:sz w:val="20"/>
      <w:szCs w:val="20"/>
    </w:rPr>
  </w:style>
  <w:style w:type="character" w:styleId="FootnoteReference">
    <w:name w:val="footnote reference"/>
    <w:basedOn w:val="DefaultParagraphFont"/>
    <w:uiPriority w:val="99"/>
    <w:semiHidden/>
    <w:unhideWhenUsed/>
    <w:rsid w:val="00777B51"/>
    <w:rPr>
      <w:vertAlign w:val="superscript"/>
    </w:rPr>
  </w:style>
  <w:style w:type="character" w:styleId="Hyperlink">
    <w:name w:val="Hyperlink"/>
    <w:rsid w:val="00777B51"/>
    <w:rPr>
      <w:color w:val="0000FF"/>
      <w:u w:val="single"/>
    </w:rPr>
  </w:style>
  <w:style w:type="paragraph" w:styleId="Header">
    <w:name w:val="header"/>
    <w:basedOn w:val="Normal"/>
    <w:link w:val="HeaderChar"/>
    <w:uiPriority w:val="99"/>
    <w:unhideWhenUsed/>
    <w:rsid w:val="000D5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188"/>
  </w:style>
  <w:style w:type="paragraph" w:styleId="Footer">
    <w:name w:val="footer"/>
    <w:basedOn w:val="Normal"/>
    <w:link w:val="FooterChar"/>
    <w:uiPriority w:val="99"/>
    <w:unhideWhenUsed/>
    <w:rsid w:val="000D5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188"/>
  </w:style>
  <w:style w:type="character" w:styleId="FollowedHyperlink">
    <w:name w:val="FollowedHyperlink"/>
    <w:basedOn w:val="DefaultParagraphFont"/>
    <w:uiPriority w:val="99"/>
    <w:semiHidden/>
    <w:unhideWhenUsed/>
    <w:rsid w:val="006F3B9B"/>
    <w:rPr>
      <w:color w:val="800080" w:themeColor="followedHyperlink"/>
      <w:u w:val="single"/>
    </w:rPr>
  </w:style>
  <w:style w:type="paragraph" w:styleId="EndnoteText">
    <w:name w:val="endnote text"/>
    <w:basedOn w:val="Normal"/>
    <w:link w:val="EndnoteTextChar"/>
    <w:uiPriority w:val="99"/>
    <w:semiHidden/>
    <w:unhideWhenUsed/>
    <w:rsid w:val="003108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8ED"/>
    <w:rPr>
      <w:sz w:val="20"/>
      <w:szCs w:val="20"/>
    </w:rPr>
  </w:style>
  <w:style w:type="character" w:styleId="EndnoteReference">
    <w:name w:val="endnote reference"/>
    <w:basedOn w:val="DefaultParagraphFont"/>
    <w:uiPriority w:val="99"/>
    <w:semiHidden/>
    <w:unhideWhenUsed/>
    <w:rsid w:val="003108ED"/>
    <w:rPr>
      <w:vertAlign w:val="superscript"/>
    </w:rPr>
  </w:style>
  <w:style w:type="paragraph" w:customStyle="1" w:styleId="LegalNumPar">
    <w:name w:val="LegalNumPar"/>
    <w:basedOn w:val="Normal"/>
    <w:rsid w:val="001E5BA4"/>
    <w:pPr>
      <w:numPr>
        <w:numId w:val="11"/>
      </w:numPr>
      <w:spacing w:line="360" w:lineRule="auto"/>
    </w:pPr>
    <w:rPr>
      <w:sz w:val="24"/>
    </w:rPr>
  </w:style>
  <w:style w:type="paragraph" w:customStyle="1" w:styleId="LegalNumPar2">
    <w:name w:val="LegalNumPar2"/>
    <w:basedOn w:val="Normal"/>
    <w:rsid w:val="001E5BA4"/>
    <w:pPr>
      <w:numPr>
        <w:ilvl w:val="1"/>
        <w:numId w:val="11"/>
      </w:numPr>
      <w:spacing w:line="360" w:lineRule="auto"/>
    </w:pPr>
    <w:rPr>
      <w:sz w:val="24"/>
    </w:rPr>
  </w:style>
  <w:style w:type="paragraph" w:customStyle="1" w:styleId="LegalNumPar3">
    <w:name w:val="LegalNumPar3"/>
    <w:basedOn w:val="Normal"/>
    <w:rsid w:val="001E5BA4"/>
    <w:pPr>
      <w:numPr>
        <w:ilvl w:val="2"/>
        <w:numId w:val="11"/>
      </w:numPr>
      <w:spacing w:line="240" w:lineRule="auto"/>
    </w:pPr>
    <w:rPr>
      <w:sz w:val="24"/>
    </w:rPr>
  </w:style>
  <w:style w:type="paragraph" w:styleId="BalloonText">
    <w:name w:val="Balloon Text"/>
    <w:basedOn w:val="Normal"/>
    <w:link w:val="BalloonTextChar"/>
    <w:uiPriority w:val="99"/>
    <w:semiHidden/>
    <w:unhideWhenUsed/>
    <w:rsid w:val="00967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06E"/>
    <w:rPr>
      <w:rFonts w:ascii="Segoe UI" w:hAnsi="Segoe UI" w:cs="Segoe UI"/>
      <w:sz w:val="18"/>
      <w:szCs w:val="18"/>
    </w:rPr>
  </w:style>
  <w:style w:type="character" w:styleId="CommentReference">
    <w:name w:val="annotation reference"/>
    <w:basedOn w:val="DefaultParagraphFont"/>
    <w:uiPriority w:val="99"/>
    <w:semiHidden/>
    <w:unhideWhenUsed/>
    <w:rsid w:val="0096706E"/>
    <w:rPr>
      <w:sz w:val="16"/>
      <w:szCs w:val="16"/>
    </w:rPr>
  </w:style>
  <w:style w:type="paragraph" w:styleId="CommentText">
    <w:name w:val="annotation text"/>
    <w:basedOn w:val="Normal"/>
    <w:link w:val="CommentTextChar"/>
    <w:uiPriority w:val="99"/>
    <w:semiHidden/>
    <w:unhideWhenUsed/>
    <w:rsid w:val="0096706E"/>
    <w:pPr>
      <w:spacing w:line="240" w:lineRule="auto"/>
    </w:pPr>
    <w:rPr>
      <w:sz w:val="20"/>
      <w:szCs w:val="20"/>
    </w:rPr>
  </w:style>
  <w:style w:type="character" w:customStyle="1" w:styleId="CommentTextChar">
    <w:name w:val="Comment Text Char"/>
    <w:basedOn w:val="DefaultParagraphFont"/>
    <w:link w:val="CommentText"/>
    <w:uiPriority w:val="99"/>
    <w:semiHidden/>
    <w:rsid w:val="0096706E"/>
    <w:rPr>
      <w:sz w:val="20"/>
      <w:szCs w:val="20"/>
    </w:rPr>
  </w:style>
  <w:style w:type="paragraph" w:styleId="CommentSubject">
    <w:name w:val="annotation subject"/>
    <w:basedOn w:val="CommentText"/>
    <w:next w:val="CommentText"/>
    <w:link w:val="CommentSubjectChar"/>
    <w:uiPriority w:val="99"/>
    <w:semiHidden/>
    <w:unhideWhenUsed/>
    <w:rsid w:val="0096706E"/>
    <w:rPr>
      <w:b/>
      <w:bCs/>
    </w:rPr>
  </w:style>
  <w:style w:type="character" w:customStyle="1" w:styleId="CommentSubjectChar">
    <w:name w:val="Comment Subject Char"/>
    <w:basedOn w:val="CommentTextChar"/>
    <w:link w:val="CommentSubject"/>
    <w:uiPriority w:val="99"/>
    <w:semiHidden/>
    <w:rsid w:val="0096706E"/>
    <w:rPr>
      <w:b/>
      <w:bCs/>
      <w:sz w:val="20"/>
      <w:szCs w:val="20"/>
    </w:rPr>
  </w:style>
  <w:style w:type="paragraph" w:styleId="Revision">
    <w:name w:val="Revision"/>
    <w:hidden/>
    <w:uiPriority w:val="99"/>
    <w:semiHidden/>
    <w:rsid w:val="00187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gs/human-resources/seniormanagementvacan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MANAGEMENT-ONLINE@ec.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jobs_at_the_european_commission/job_opportunities/documents/commission-decision-maximum-duration-non-permanent-staff-c-2013-9028-en.pdf" TargetMode="External"/><Relationship Id="rId2" Type="http://schemas.openxmlformats.org/officeDocument/2006/relationships/hyperlink" Target="https://ec.europa.eu/info/sites/info/files/jobs_at_the_european_commission/job_opportunities/documents/commission-decision-temporary-agents-c-2013-9049-en.pdf" TargetMode="External"/><Relationship Id="rId1" Type="http://schemas.openxmlformats.org/officeDocument/2006/relationships/hyperlink" Target="http://eurlex.europa.eu/LexUriServ/LexUriServ.do?uri=CONSLEG:1962R0031:20140101:bg:PDF" TargetMode="External"/><Relationship Id="rId6" Type="http://schemas.openxmlformats.org/officeDocument/2006/relationships/hyperlink" Target="https://eur-lex.europa.eu/legal-content/BG/TXT/PDF/?uri=CELEX:01962R0031-20140701&amp;from=BG" TargetMode="External"/><Relationship Id="rId5" Type="http://schemas.openxmlformats.org/officeDocument/2006/relationships/hyperlink" Target="https://eur-lex.europa.eu/legal-content/BG/TXT/PDF/?uri=CELEX:01958R0001-20130701&amp;qid=1408533709461&amp;from=BG" TargetMode="External"/><Relationship Id="rId4" Type="http://schemas.openxmlformats.org/officeDocument/2006/relationships/hyperlink" Target="https://ec.europa.eu/transparency/regdoc/rep/3/2008/EN/C-2008-3983-F1-EN-MAIN-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62D038-124D-4A93-8366-488C8350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COUDRAIS Isabelle (HR)</dc:creator>
  <cp:keywords/>
  <dc:description/>
  <cp:lastModifiedBy>Utilisateur</cp:lastModifiedBy>
  <cp:revision>2</cp:revision>
  <dcterms:created xsi:type="dcterms:W3CDTF">2020-09-25T12:32:00Z</dcterms:created>
  <dcterms:modified xsi:type="dcterms:W3CDTF">2020-09-25T12:32:00Z</dcterms:modified>
</cp:coreProperties>
</file>