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86" w:rsidRDefault="0036585E" w:rsidP="00027186">
      <w:pPr>
        <w:spacing w:line="240" w:lineRule="auto"/>
        <w:jc w:val="both"/>
        <w:rPr>
          <w:lang w:val="en-US"/>
        </w:rPr>
      </w:pPr>
      <w:r>
        <w:t xml:space="preserve">         </w:t>
      </w:r>
      <w:r w:rsidR="00027186">
        <w:t>Допълнителна дейност за сформиране на екип на промяната, който да бъде мотор на първите стъпки за подобряване функционирането.</w:t>
      </w:r>
    </w:p>
    <w:p w:rsidR="00027186" w:rsidRPr="00480648" w:rsidRDefault="00027186" w:rsidP="00027186">
      <w:pPr>
        <w:spacing w:line="240" w:lineRule="auto"/>
        <w:jc w:val="both"/>
        <w:rPr>
          <w:lang w:val="en-US"/>
        </w:rPr>
      </w:pPr>
      <w:r w:rsidRPr="00480648">
        <w:rPr>
          <w:lang w:val="en-US"/>
        </w:rPr>
        <w:t xml:space="preserve">Стратегия за модернизация на организацията и функционирането на МВнР </w:t>
      </w:r>
      <w:r>
        <w:t>и роля на</w:t>
      </w:r>
      <w:r w:rsidRPr="00480648">
        <w:rPr>
          <w:lang w:val="en-US"/>
        </w:rPr>
        <w:t xml:space="preserve"> екип</w:t>
      </w:r>
      <w:r>
        <w:t>а</w:t>
      </w:r>
      <w:r>
        <w:rPr>
          <w:lang w:val="en-US"/>
        </w:rPr>
        <w:t xml:space="preserve"> за управление на промяната</w:t>
      </w:r>
      <w:r w:rsidRPr="00480648">
        <w:rPr>
          <w:lang w:val="en-US"/>
        </w:rPr>
        <w:t>:</w:t>
      </w:r>
    </w:p>
    <w:p w:rsidR="00027186" w:rsidRPr="00480648" w:rsidRDefault="00027186" w:rsidP="00027186">
      <w:pPr>
        <w:pStyle w:val="NoSpacing"/>
        <w:rPr>
          <w:lang w:val="en-US"/>
        </w:rPr>
      </w:pPr>
      <w:r w:rsidRPr="00480648">
        <w:rPr>
          <w:lang w:val="en-US"/>
        </w:rPr>
        <w:t></w:t>
      </w:r>
      <w:r w:rsidRPr="00480648">
        <w:rPr>
          <w:lang w:val="en-US"/>
        </w:rPr>
        <w:tab/>
        <w:t>Да мобилизира подкрепа за промяната;</w:t>
      </w:r>
    </w:p>
    <w:p w:rsidR="00027186" w:rsidRPr="00480648" w:rsidRDefault="00027186" w:rsidP="00027186">
      <w:pPr>
        <w:pStyle w:val="NoSpacing"/>
        <w:rPr>
          <w:lang w:val="en-US"/>
        </w:rPr>
      </w:pPr>
      <w:r>
        <w:rPr>
          <w:lang w:val="en-US"/>
        </w:rPr>
        <w:t></w:t>
      </w:r>
      <w:r>
        <w:rPr>
          <w:lang w:val="en-US"/>
        </w:rPr>
        <w:tab/>
        <w:t xml:space="preserve">Да наблюдава </w:t>
      </w:r>
      <w:r w:rsidRPr="00480648">
        <w:rPr>
          <w:lang w:val="en-US"/>
        </w:rPr>
        <w:t>изпълнението на Плана за реализация на Стратегията;</w:t>
      </w:r>
    </w:p>
    <w:p w:rsidR="00027186" w:rsidRPr="00480648" w:rsidRDefault="00027186" w:rsidP="00027186">
      <w:pPr>
        <w:pStyle w:val="NoSpacing"/>
        <w:rPr>
          <w:lang w:val="en-US"/>
        </w:rPr>
      </w:pPr>
      <w:r w:rsidRPr="00480648">
        <w:rPr>
          <w:lang w:val="en-US"/>
        </w:rPr>
        <w:t></w:t>
      </w:r>
      <w:r w:rsidRPr="00480648">
        <w:rPr>
          <w:lang w:val="en-US"/>
        </w:rPr>
        <w:tab/>
        <w:t>Да прави оценка  на  реализираните промени;</w:t>
      </w:r>
    </w:p>
    <w:p w:rsidR="00027186" w:rsidRPr="00480648" w:rsidRDefault="00027186" w:rsidP="00027186">
      <w:pPr>
        <w:pStyle w:val="NoSpacing"/>
        <w:rPr>
          <w:lang w:val="en-US"/>
        </w:rPr>
      </w:pPr>
      <w:r w:rsidRPr="00480648">
        <w:rPr>
          <w:lang w:val="en-US"/>
        </w:rPr>
        <w:t></w:t>
      </w:r>
      <w:r w:rsidRPr="00480648">
        <w:rPr>
          <w:lang w:val="en-US"/>
        </w:rPr>
        <w:tab/>
        <w:t>Да предлага коригиращи мерки;</w:t>
      </w:r>
    </w:p>
    <w:p w:rsidR="00027186" w:rsidRPr="00480648" w:rsidRDefault="00027186" w:rsidP="00027186">
      <w:pPr>
        <w:pStyle w:val="NoSpacing"/>
        <w:rPr>
          <w:lang w:val="en-US"/>
        </w:rPr>
      </w:pPr>
      <w:r w:rsidRPr="00480648">
        <w:rPr>
          <w:lang w:val="en-US"/>
        </w:rPr>
        <w:t></w:t>
      </w:r>
      <w:r w:rsidRPr="00480648">
        <w:rPr>
          <w:lang w:val="en-US"/>
        </w:rPr>
        <w:tab/>
        <w:t>Да осъществява контакти с другите органи във връзка с промените в МВнР;</w:t>
      </w:r>
    </w:p>
    <w:p w:rsidR="00027186" w:rsidRPr="00480648" w:rsidRDefault="00027186" w:rsidP="00027186">
      <w:pPr>
        <w:pStyle w:val="NoSpacing"/>
        <w:rPr>
          <w:lang w:val="en-US"/>
        </w:rPr>
      </w:pPr>
      <w:r w:rsidRPr="00480648">
        <w:rPr>
          <w:lang w:val="en-US"/>
        </w:rPr>
        <w:t></w:t>
      </w:r>
      <w:r w:rsidRPr="00480648">
        <w:rPr>
          <w:lang w:val="en-US"/>
        </w:rPr>
        <w:tab/>
        <w:t>Да комуникира промяната както със служителите на министерството/ЦУ и задграничните представителства/, с институциите.</w:t>
      </w:r>
    </w:p>
    <w:p w:rsidR="00027186" w:rsidRPr="004A46E7" w:rsidRDefault="00027186" w:rsidP="00027186">
      <w:pPr>
        <w:spacing w:line="240" w:lineRule="auto"/>
        <w:jc w:val="both"/>
      </w:pPr>
      <w:r>
        <w:t>М</w:t>
      </w:r>
      <w:r w:rsidRPr="004A46E7">
        <w:t>одернизация, не просто „реформа“ (разбирана в традиционния смисъл)</w:t>
      </w:r>
      <w:r>
        <w:t xml:space="preserve"> с х</w:t>
      </w:r>
      <w:r w:rsidRPr="004A46E7">
        <w:t>оризонт 2018 г.</w:t>
      </w:r>
      <w:r>
        <w:t xml:space="preserve">: </w:t>
      </w:r>
    </w:p>
    <w:p w:rsidR="00027186" w:rsidRPr="004A46E7" w:rsidRDefault="00027186" w:rsidP="00027186">
      <w:pPr>
        <w:numPr>
          <w:ilvl w:val="0"/>
          <w:numId w:val="6"/>
        </w:numPr>
        <w:spacing w:line="240" w:lineRule="auto"/>
        <w:jc w:val="both"/>
      </w:pPr>
      <w:r w:rsidRPr="004A46E7">
        <w:t>2016 г.:</w:t>
      </w:r>
    </w:p>
    <w:p w:rsidR="00027186" w:rsidRPr="004A46E7" w:rsidRDefault="00027186" w:rsidP="00027186">
      <w:pPr>
        <w:numPr>
          <w:ilvl w:val="1"/>
          <w:numId w:val="6"/>
        </w:numPr>
        <w:spacing w:line="240" w:lineRule="auto"/>
        <w:jc w:val="both"/>
      </w:pPr>
      <w:r w:rsidRPr="004A46E7">
        <w:t xml:space="preserve">планиране и утвърждаване на промените (включително в нормативната уредба, бюджетната рамка и др.) </w:t>
      </w:r>
    </w:p>
    <w:p w:rsidR="00027186" w:rsidRPr="004A46E7" w:rsidRDefault="00027186" w:rsidP="00027186">
      <w:pPr>
        <w:numPr>
          <w:ilvl w:val="1"/>
          <w:numId w:val="6"/>
        </w:numPr>
        <w:spacing w:line="240" w:lineRule="auto"/>
        <w:jc w:val="both"/>
      </w:pPr>
      <w:r w:rsidRPr="004A46E7">
        <w:t>последователно въвеждане на промените;</w:t>
      </w:r>
    </w:p>
    <w:p w:rsidR="00027186" w:rsidRPr="004A46E7" w:rsidRDefault="00027186" w:rsidP="00027186">
      <w:pPr>
        <w:numPr>
          <w:ilvl w:val="0"/>
          <w:numId w:val="6"/>
        </w:numPr>
        <w:spacing w:line="240" w:lineRule="auto"/>
        <w:jc w:val="both"/>
      </w:pPr>
      <w:r w:rsidRPr="004A46E7">
        <w:t>2017 г. – първи цялостен цикъл на функциониране на новата организация –</w:t>
      </w:r>
      <w:r>
        <w:t xml:space="preserve"> </w:t>
      </w:r>
      <w:r w:rsidRPr="004A46E7">
        <w:t>оценка на прилагането, и при необходимост донастройване на механизмите за изпълнение.</w:t>
      </w:r>
    </w:p>
    <w:p w:rsidR="00027186" w:rsidRPr="004A46E7" w:rsidRDefault="00027186" w:rsidP="00027186">
      <w:pPr>
        <w:numPr>
          <w:ilvl w:val="0"/>
          <w:numId w:val="6"/>
        </w:numPr>
        <w:spacing w:line="240" w:lineRule="auto"/>
        <w:jc w:val="both"/>
      </w:pPr>
      <w:r w:rsidRPr="004A46E7">
        <w:t>2018 г. – втори цялостен цикъл на функциониране на новата организация – измерване на ефективността и ефикасността, отчитане на промените в качеството на резултатите.</w:t>
      </w:r>
    </w:p>
    <w:p w:rsidR="00DC7EB2" w:rsidRDefault="00DC7EB2" w:rsidP="00DC7EB2">
      <w:pPr>
        <w:spacing w:after="0" w:line="240" w:lineRule="auto"/>
        <w:rPr>
          <w:color w:val="FF0000"/>
        </w:rPr>
      </w:pPr>
    </w:p>
    <w:p w:rsidR="00DC7EB2" w:rsidRPr="00DC7EB2" w:rsidRDefault="00DC7EB2" w:rsidP="00DC7EB2">
      <w:pPr>
        <w:spacing w:after="0" w:line="240" w:lineRule="auto"/>
        <w:rPr>
          <w:color w:val="FF0000"/>
        </w:rPr>
      </w:pPr>
    </w:p>
    <w:p w:rsidR="00027186" w:rsidRDefault="00027186" w:rsidP="00027186">
      <w:pPr>
        <w:rPr>
          <w:color w:val="FF0000"/>
        </w:rPr>
      </w:pPr>
    </w:p>
    <w:p w:rsidR="007D7DF9" w:rsidRDefault="007D7DF9" w:rsidP="00027186">
      <w:pPr>
        <w:rPr>
          <w:color w:val="FF0000"/>
        </w:rPr>
      </w:pPr>
    </w:p>
    <w:p w:rsidR="007D7DF9" w:rsidRDefault="007D7DF9" w:rsidP="00027186">
      <w:pPr>
        <w:rPr>
          <w:color w:val="FF0000"/>
        </w:rPr>
      </w:pPr>
    </w:p>
    <w:p w:rsidR="00142143" w:rsidRDefault="00142143" w:rsidP="00027186"/>
    <w:p w:rsidR="00DC7EB2" w:rsidRDefault="00DC7EB2" w:rsidP="00DC7EB2">
      <w:pPr>
        <w:spacing w:after="0" w:line="240" w:lineRule="auto"/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7"/>
        <w:gridCol w:w="3396"/>
        <w:gridCol w:w="1964"/>
      </w:tblGrid>
      <w:tr w:rsidR="00EB0A08" w:rsidRPr="00EB0A08" w:rsidTr="00097C31">
        <w:trPr>
          <w:tblCellSpacing w:w="15" w:type="dxa"/>
          <w:jc w:val="center"/>
        </w:trPr>
        <w:tc>
          <w:tcPr>
            <w:tcW w:w="1655" w:type="pct"/>
            <w:vAlign w:val="center"/>
            <w:hideMark/>
          </w:tcPr>
          <w:p w:rsidR="00EB0A08" w:rsidRPr="00EB0A08" w:rsidRDefault="00EB0A08" w:rsidP="00EB0A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EB0A08">
              <w:rPr>
                <w:rFonts w:ascii="Verdana" w:eastAsia="Times New Roman" w:hAnsi="Verdana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121410" cy="946785"/>
                  <wp:effectExtent l="0" t="0" r="2540" b="5715"/>
                  <wp:docPr id="7" name="Picture 7" descr="http://www.rta.government.bg/images/Image/images/logo-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ta.government.bg/images/Image/images/logo-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vAlign w:val="center"/>
            <w:hideMark/>
          </w:tcPr>
          <w:p w:rsidR="00EB0A08" w:rsidRPr="00EB0A08" w:rsidRDefault="00EB0A08" w:rsidP="00EB0A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EB0A08">
              <w:rPr>
                <w:rFonts w:ascii="Verdana" w:eastAsia="Times New Roman" w:hAnsi="Verdana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2144395" cy="946785"/>
                  <wp:effectExtent l="0" t="0" r="8255" b="5715"/>
                  <wp:docPr id="8" name="Picture 8" descr="http://www.rta.government.bg/images/Image/images/OPAK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ta.government.bg/images/Image/images/OPAK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  <w:vAlign w:val="center"/>
            <w:hideMark/>
          </w:tcPr>
          <w:p w:rsidR="00EB0A08" w:rsidRPr="00EB0A08" w:rsidRDefault="00EB0A08" w:rsidP="00EB0A0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  <w:r w:rsidRPr="00EB0A08">
              <w:rPr>
                <w:rFonts w:ascii="Verdana" w:eastAsia="Times New Roman" w:hAnsi="Verdana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219200" cy="946785"/>
                  <wp:effectExtent l="0" t="0" r="0" b="5715"/>
                  <wp:docPr id="9" name="Picture 9" descr="http://www.rta.government.bg/images/Image/images/logo_ESF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ta.government.bg/images/Image/images/logo_ESF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143" w:rsidRDefault="000F0759" w:rsidP="00027186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25.2pt;width:2in;height:2in;z-index:251663360;visibility:visible;mso-wrap-style:none;mso-position-horizontal-relative:text;mso-position-vertical-relative:text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" stroked="f">
            <v:fill r:id="rId9" o:title="" recolor="t" rotate="t" type="tile"/>
            <v:textbox style="mso-fit-shape-to-text:t">
              <w:txbxContent>
                <w:p w:rsidR="00EB0A08" w:rsidRPr="00EB0A08" w:rsidRDefault="00EB0A08" w:rsidP="00EB0A08">
                  <w:pPr>
                    <w:jc w:val="center"/>
                    <w:rPr>
                      <w:rFonts w:ascii="Times New Roman CYR" w:hAnsi="Times New Roman CYR"/>
                      <w:b/>
                      <w:color w:val="FF0000"/>
                      <w:sz w:val="16"/>
                      <w:szCs w:val="24"/>
                    </w:rPr>
                  </w:pPr>
                </w:p>
                <w:p w:rsidR="00EB0A08" w:rsidRDefault="00EB0A08" w:rsidP="007D7DF9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</w:pPr>
                  <w:r w:rsidRPr="00EB0A08"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  <w:t xml:space="preserve">Проект „Подобряване на ефективността и оптимизиране на структурата на администрацията на </w:t>
                  </w:r>
                </w:p>
                <w:p w:rsidR="00EB0A08" w:rsidRPr="00EB0A08" w:rsidRDefault="00EB0A08" w:rsidP="007D7DF9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</w:pPr>
                  <w:r w:rsidRPr="00EB0A08"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  <w:t>Министерство на външните работи“</w:t>
                  </w:r>
                </w:p>
                <w:p w:rsidR="00EB0A08" w:rsidRPr="00EB0A08" w:rsidRDefault="00EB0A08" w:rsidP="007D7DF9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</w:pPr>
                  <w:r w:rsidRPr="00EB0A08"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  <w:t>с рег.№ 14-11-4/01.09.2014 г.</w:t>
                  </w:r>
                </w:p>
                <w:p w:rsidR="00EB0A08" w:rsidRPr="00EB0A08" w:rsidRDefault="00EB0A08" w:rsidP="007D7DF9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</w:pPr>
                  <w:r w:rsidRPr="00EB0A08"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  <w:t>Изпълнител:  Администрацията на МВнР</w:t>
                  </w:r>
                </w:p>
                <w:p w:rsidR="00EB0A08" w:rsidRPr="00EB0A08" w:rsidRDefault="00EB0A08" w:rsidP="007D7DF9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</w:pPr>
                  <w:r w:rsidRPr="00EB0A08">
                    <w:rPr>
                      <w:rFonts w:ascii="Times New Roman CYR" w:hAnsi="Times New Roman CYR"/>
                      <w:b/>
                      <w:color w:val="FF0000"/>
                      <w:sz w:val="24"/>
                      <w:szCs w:val="24"/>
                    </w:rPr>
                    <w:t>Срок на договора: 01.09.2014 г. – 31.12.2015 г.</w:t>
                  </w:r>
                </w:p>
                <w:p w:rsidR="00EB0A08" w:rsidRPr="00EB0A08" w:rsidRDefault="00EB0A08" w:rsidP="00EB0A08">
                  <w:pPr>
                    <w:rPr>
                      <w:sz w:val="2"/>
                    </w:rPr>
                  </w:pPr>
                </w:p>
              </w:txbxContent>
            </v:textbox>
            <w10:wrap type="square"/>
          </v:shape>
        </w:pict>
      </w:r>
    </w:p>
    <w:p w:rsidR="00142143" w:rsidRDefault="00142143" w:rsidP="00027186"/>
    <w:p w:rsidR="007D7DF9" w:rsidRPr="00DC7EB2" w:rsidRDefault="007D7DF9" w:rsidP="007D7DF9">
      <w:pPr>
        <w:spacing w:after="0" w:line="240" w:lineRule="auto"/>
        <w:jc w:val="center"/>
        <w:rPr>
          <w:color w:val="FF0000"/>
        </w:rPr>
      </w:pPr>
      <w:r w:rsidRPr="00DC7EB2">
        <w:rPr>
          <w:color w:val="FF0000"/>
        </w:rPr>
        <w:t>„Проектът се осъществява с финансовата подкрепа</w:t>
      </w:r>
    </w:p>
    <w:p w:rsidR="007D7DF9" w:rsidRPr="00DC7EB2" w:rsidRDefault="007D7DF9" w:rsidP="007D7DF9">
      <w:pPr>
        <w:spacing w:after="0" w:line="240" w:lineRule="auto"/>
        <w:jc w:val="center"/>
        <w:rPr>
          <w:color w:val="FF0000"/>
        </w:rPr>
      </w:pPr>
      <w:r w:rsidRPr="00DC7EB2">
        <w:rPr>
          <w:color w:val="FF0000"/>
        </w:rPr>
        <w:t>на Оперативна програма „Административен капацитет”, съфинансирана</w:t>
      </w:r>
    </w:p>
    <w:p w:rsidR="007D7DF9" w:rsidRPr="00DC7EB2" w:rsidRDefault="007D7DF9" w:rsidP="007D7DF9">
      <w:pPr>
        <w:spacing w:after="0" w:line="240" w:lineRule="auto"/>
        <w:jc w:val="center"/>
        <w:rPr>
          <w:color w:val="FF0000"/>
        </w:rPr>
      </w:pPr>
      <w:r w:rsidRPr="00DC7EB2">
        <w:rPr>
          <w:color w:val="FF0000"/>
        </w:rPr>
        <w:t>от Европейския съюз чрез Европейски социален фонд”.</w:t>
      </w:r>
    </w:p>
    <w:p w:rsidR="007D7DF9" w:rsidRDefault="007D7DF9" w:rsidP="007D7DF9">
      <w:pPr>
        <w:spacing w:line="240" w:lineRule="auto"/>
        <w:rPr>
          <w:rFonts w:ascii="Cambria" w:hAnsi="Cambria"/>
          <w:color w:val="000000" w:themeColor="text1"/>
        </w:rPr>
      </w:pPr>
    </w:p>
    <w:p w:rsidR="00027186" w:rsidRPr="007D7DF9" w:rsidRDefault="00027186" w:rsidP="007D7DF9">
      <w:pPr>
        <w:spacing w:line="240" w:lineRule="auto"/>
        <w:jc w:val="center"/>
        <w:rPr>
          <w:rFonts w:ascii="Cambria" w:hAnsi="Cambria"/>
          <w:color w:val="000000" w:themeColor="text1"/>
        </w:rPr>
      </w:pPr>
      <w:r w:rsidRPr="007D7DF9">
        <w:rPr>
          <w:rFonts w:ascii="Cambria" w:hAnsi="Cambria"/>
          <w:color w:val="000000" w:themeColor="text1"/>
        </w:rPr>
        <w:t>Оптимизиране структурата и осигуряване на организационно развитие и по-ефективно функциониране на администрацията на МВнР.</w:t>
      </w:r>
    </w:p>
    <w:p w:rsidR="00027186" w:rsidRPr="007D7DF9" w:rsidRDefault="00027186" w:rsidP="007D7DF9">
      <w:pPr>
        <w:spacing w:line="240" w:lineRule="auto"/>
        <w:jc w:val="center"/>
        <w:rPr>
          <w:rFonts w:ascii="Cambria" w:hAnsi="Cambria"/>
          <w:color w:val="000000" w:themeColor="text1"/>
        </w:rPr>
      </w:pPr>
      <w:r w:rsidRPr="007D7DF9">
        <w:rPr>
          <w:rFonts w:ascii="Cambria" w:hAnsi="Cambria"/>
          <w:color w:val="000000" w:themeColor="text1"/>
        </w:rPr>
        <w:t>Поставени специфични цели:</w:t>
      </w:r>
    </w:p>
    <w:p w:rsidR="00027186" w:rsidRPr="007D7DF9" w:rsidRDefault="00027186" w:rsidP="007D7DF9">
      <w:pPr>
        <w:pStyle w:val="text"/>
        <w:numPr>
          <w:ilvl w:val="0"/>
          <w:numId w:val="2"/>
        </w:numPr>
        <w:spacing w:line="240" w:lineRule="auto"/>
        <w:rPr>
          <w:rFonts w:ascii="Cambria" w:hAnsi="Cambria"/>
          <w:color w:val="000000" w:themeColor="text1"/>
          <w:sz w:val="22"/>
          <w:szCs w:val="22"/>
        </w:rPr>
      </w:pPr>
      <w:r w:rsidRPr="007D7DF9">
        <w:rPr>
          <w:rFonts w:ascii="Cambria" w:hAnsi="Cambria"/>
          <w:color w:val="000000" w:themeColor="text1"/>
          <w:sz w:val="22"/>
          <w:szCs w:val="22"/>
        </w:rPr>
        <w:t>Оптимизиране структурата на администрацията на МВнР;</w:t>
      </w:r>
    </w:p>
    <w:p w:rsidR="00027186" w:rsidRPr="007D7DF9" w:rsidRDefault="00027186" w:rsidP="007D7DF9">
      <w:pPr>
        <w:pStyle w:val="text"/>
        <w:numPr>
          <w:ilvl w:val="0"/>
          <w:numId w:val="2"/>
        </w:numPr>
        <w:spacing w:line="240" w:lineRule="auto"/>
        <w:rPr>
          <w:rFonts w:ascii="Cambria" w:hAnsi="Cambria"/>
          <w:color w:val="000000" w:themeColor="text1"/>
          <w:sz w:val="22"/>
          <w:szCs w:val="22"/>
        </w:rPr>
      </w:pPr>
      <w:r w:rsidRPr="007D7DF9">
        <w:rPr>
          <w:rFonts w:ascii="Cambria" w:hAnsi="Cambria"/>
          <w:color w:val="000000" w:themeColor="text1"/>
          <w:sz w:val="22"/>
          <w:szCs w:val="22"/>
        </w:rPr>
        <w:t>Подобряване работните процеси за повишаване на ефективността и ефикасността;</w:t>
      </w:r>
    </w:p>
    <w:p w:rsidR="00027186" w:rsidRPr="007D7DF9" w:rsidRDefault="00027186" w:rsidP="007D7DF9">
      <w:pPr>
        <w:pStyle w:val="text"/>
        <w:numPr>
          <w:ilvl w:val="0"/>
          <w:numId w:val="2"/>
        </w:numPr>
        <w:spacing w:line="240" w:lineRule="auto"/>
        <w:rPr>
          <w:rFonts w:ascii="Cambria" w:hAnsi="Cambria"/>
          <w:color w:val="000000" w:themeColor="text1"/>
          <w:sz w:val="22"/>
          <w:szCs w:val="22"/>
        </w:rPr>
      </w:pPr>
      <w:r w:rsidRPr="007D7DF9">
        <w:rPr>
          <w:rFonts w:ascii="Cambria" w:hAnsi="Cambria"/>
          <w:color w:val="000000" w:themeColor="text1"/>
          <w:sz w:val="22"/>
          <w:szCs w:val="22"/>
        </w:rPr>
        <w:t>Избягване на дублиращи се функции.</w:t>
      </w:r>
    </w:p>
    <w:p w:rsidR="00027186" w:rsidRDefault="00027186" w:rsidP="00027186">
      <w:pPr>
        <w:jc w:val="both"/>
      </w:pPr>
    </w:p>
    <w:p w:rsidR="00027186" w:rsidRDefault="00027186" w:rsidP="00027186">
      <w:pPr>
        <w:jc w:val="both"/>
      </w:pPr>
    </w:p>
    <w:p w:rsidR="00027186" w:rsidRPr="001E1B4A" w:rsidRDefault="0036585E" w:rsidP="00027186">
      <w:pPr>
        <w:jc w:val="both"/>
      </w:pPr>
      <w:r>
        <w:t xml:space="preserve">            </w:t>
      </w:r>
      <w:r w:rsidR="00027186" w:rsidRPr="001E1B4A">
        <w:t>Це</w:t>
      </w:r>
      <w:r w:rsidR="00027186">
        <w:t>лите на проекта бяха постигнати</w:t>
      </w:r>
      <w:r w:rsidR="00027186" w:rsidRPr="001E1B4A">
        <w:t xml:space="preserve"> чрез изпълнение на поредица от последователни и логически свързани дейности</w:t>
      </w:r>
      <w:r w:rsidR="00027186">
        <w:t>:</w:t>
      </w:r>
    </w:p>
    <w:p w:rsidR="00027186" w:rsidRDefault="00027186" w:rsidP="00027186">
      <w:pPr>
        <w:jc w:val="both"/>
      </w:pPr>
      <w:r w:rsidRPr="001E1B4A">
        <w:rPr>
          <w:b/>
          <w:u w:val="single"/>
        </w:rPr>
        <w:t>Дейност 2:</w:t>
      </w:r>
      <w:r w:rsidRPr="001E1B4A">
        <w:tab/>
        <w:t xml:space="preserve">Извършване на функционален анализ в администрацията на МВнР чрез прилагане на Единната методология за провеждане на функционален анализ в държавната администрация (ЕМПФАДА). </w:t>
      </w:r>
      <w:r>
        <w:t xml:space="preserve">Успешното реализиране бе ключово за постигане на целите на проекта и се състоеше </w:t>
      </w:r>
      <w:r w:rsidRPr="000C21C9">
        <w:t>в извършване на подробен функционален анализ на отговорностите и капацитета, оценка</w:t>
      </w:r>
      <w:r>
        <w:t>та</w:t>
      </w:r>
      <w:r w:rsidRPr="000C21C9">
        <w:t xml:space="preserve"> на дейностите и работните процеси, числеността на служителите спрямо функциите и дейностите</w:t>
      </w:r>
      <w:r>
        <w:t xml:space="preserve">. </w:t>
      </w:r>
    </w:p>
    <w:p w:rsidR="00027186" w:rsidRPr="001E1B4A" w:rsidRDefault="00027186" w:rsidP="00027186">
      <w:pPr>
        <w:jc w:val="both"/>
      </w:pPr>
      <w:r>
        <w:t>Изпълнението премина през четири основни етапа, както следва:</w:t>
      </w:r>
    </w:p>
    <w:p w:rsidR="00027186" w:rsidRPr="001E1B4A" w:rsidRDefault="00027186" w:rsidP="00027186">
      <w:pPr>
        <w:pStyle w:val="bulettabl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2.1: Планиране и подготовка на функционалния анализ;</w:t>
      </w:r>
    </w:p>
    <w:p w:rsidR="00027186" w:rsidRPr="001E1B4A" w:rsidRDefault="00027186" w:rsidP="00027186">
      <w:pPr>
        <w:pStyle w:val="bulettabl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2.2: Провеждане на функционалния анализ;</w:t>
      </w:r>
    </w:p>
    <w:p w:rsidR="00027186" w:rsidRPr="001E1B4A" w:rsidRDefault="00027186" w:rsidP="00027186">
      <w:pPr>
        <w:pStyle w:val="bulettabl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2.3: Приключване на функционалния анализ;</w:t>
      </w:r>
    </w:p>
    <w:p w:rsidR="00027186" w:rsidRPr="001E1B4A" w:rsidRDefault="00027186" w:rsidP="00027186">
      <w:pPr>
        <w:pStyle w:val="bulettabl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 2.4: Наблюдение и мониторинг на изпълнението на анализа.</w:t>
      </w:r>
    </w:p>
    <w:p w:rsidR="00027186" w:rsidRPr="00A103D8" w:rsidRDefault="00027186" w:rsidP="00027186">
      <w:pPr>
        <w:jc w:val="both"/>
      </w:pPr>
      <w:r w:rsidRPr="00A103D8">
        <w:t xml:space="preserve">При </w:t>
      </w:r>
      <w:r>
        <w:t xml:space="preserve">провеждането на функционалния анализ бяха използвани широк спектър от методически инструменти за </w:t>
      </w:r>
      <w:r w:rsidRPr="000C21C9">
        <w:t>провеждане на планираните проучвания</w:t>
      </w:r>
      <w:r>
        <w:t xml:space="preserve"> като: </w:t>
      </w:r>
      <w:r w:rsidRPr="000C21C9">
        <w:t>моделиране;</w:t>
      </w:r>
      <w:r>
        <w:t xml:space="preserve"> </w:t>
      </w:r>
      <w:r w:rsidRPr="000C21C9">
        <w:t>документални проучвания (desk research);</w:t>
      </w:r>
      <w:r>
        <w:t xml:space="preserve"> </w:t>
      </w:r>
      <w:r w:rsidRPr="000C21C9">
        <w:t>теренни проучвания (field research) – качествени методи;</w:t>
      </w:r>
      <w:r>
        <w:t xml:space="preserve"> </w:t>
      </w:r>
      <w:r w:rsidRPr="000C21C9">
        <w:t>теренни проучвания (field research) – количествени методи;</w:t>
      </w:r>
      <w:r>
        <w:t xml:space="preserve"> </w:t>
      </w:r>
      <w:r w:rsidRPr="000C21C9">
        <w:t>експертни панели;</w:t>
      </w:r>
      <w:r>
        <w:t xml:space="preserve"> </w:t>
      </w:r>
      <w:r w:rsidRPr="000C21C9">
        <w:t>сравнителен обектно ориентиран анализ на изследвани практики и/или институции.</w:t>
      </w:r>
    </w:p>
    <w:p w:rsidR="00027186" w:rsidRDefault="00027186" w:rsidP="00027186">
      <w:pPr>
        <w:jc w:val="both"/>
      </w:pPr>
      <w:r w:rsidRPr="001E1B4A">
        <w:rPr>
          <w:b/>
          <w:u w:val="single"/>
        </w:rPr>
        <w:t>Дейност 3:</w:t>
      </w:r>
      <w:r w:rsidRPr="001E1B4A">
        <w:tab/>
        <w:t>Изготвяне на мерки за оптимизация на администрацията и работните процеси в МВнР</w:t>
      </w:r>
      <w:r>
        <w:t xml:space="preserve"> и</w:t>
      </w:r>
      <w:r w:rsidRPr="000C21C9">
        <w:t xml:space="preserve"> разработ</w:t>
      </w:r>
      <w:r>
        <w:t>ването на препоръки въз основа на</w:t>
      </w:r>
      <w:r w:rsidRPr="000C21C9">
        <w:t xml:space="preserve"> резултатите от извършения анализ на съществуващите методологии, процедури и вътрешни правила и текущото състояние на процесите, както и на нивото на организираност, ефикасност, обмен на информация, наличието на дублирани операции. </w:t>
      </w:r>
    </w:p>
    <w:p w:rsidR="00027186" w:rsidRDefault="00027186" w:rsidP="00027186">
      <w:pPr>
        <w:jc w:val="both"/>
      </w:pPr>
      <w:r>
        <w:t>Изпълнението на дейността премина през следните етапи:</w:t>
      </w:r>
    </w:p>
    <w:p w:rsidR="00675B45" w:rsidRPr="001E1B4A" w:rsidRDefault="00675B45" w:rsidP="00027186">
      <w:pPr>
        <w:jc w:val="both"/>
      </w:pPr>
    </w:p>
    <w:p w:rsidR="00027186" w:rsidRPr="001E1B4A" w:rsidRDefault="00027186" w:rsidP="00027186">
      <w:pPr>
        <w:pStyle w:val="bulettabl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lastRenderedPageBreak/>
        <w:t>Етап 3.1: Анализ на работните процеси и координацията в системата на МВнР;</w:t>
      </w:r>
    </w:p>
    <w:p w:rsidR="00027186" w:rsidRPr="001E1B4A" w:rsidRDefault="00027186" w:rsidP="00027186">
      <w:pPr>
        <w:pStyle w:val="bulettable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3.2: Изготвяне на писмени препоръки и мерки за организационни промени, свързани с оптимизацията на работните процеси;</w:t>
      </w:r>
    </w:p>
    <w:p w:rsidR="00027186" w:rsidRPr="001E1B4A" w:rsidRDefault="00027186" w:rsidP="00027186">
      <w:pPr>
        <w:pStyle w:val="bulettable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3.3: Изготвяне на обосновани конкретни текстове за промяна в нормативната уредба на МВнР, които да подобрят използването на човешките ресурси чрез оптимизиране на работните процеси;</w:t>
      </w:r>
    </w:p>
    <w:p w:rsidR="00027186" w:rsidRPr="001E1B4A" w:rsidRDefault="00027186" w:rsidP="00027186">
      <w:pPr>
        <w:pStyle w:val="bulettabl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Етап 3.4: Подготовка на предложения за оптимизиране на работното време.</w:t>
      </w:r>
    </w:p>
    <w:p w:rsidR="00027186" w:rsidRDefault="00027186" w:rsidP="00027186">
      <w:pPr>
        <w:jc w:val="both"/>
      </w:pPr>
      <w:r w:rsidRPr="001E1B4A">
        <w:rPr>
          <w:b/>
          <w:u w:val="single"/>
        </w:rPr>
        <w:t>Дейност 4</w:t>
      </w:r>
      <w:r w:rsidRPr="001E1B4A">
        <w:rPr>
          <w:b/>
        </w:rPr>
        <w:t>:</w:t>
      </w:r>
      <w:r w:rsidRPr="001E1B4A">
        <w:t xml:space="preserve"> Актуализиране на нормативни и стратегически документи във връзка с оптимизиране на структурата и подобряване на работните процеси</w:t>
      </w:r>
      <w:r>
        <w:t xml:space="preserve">. </w:t>
      </w:r>
      <w:r w:rsidRPr="000C21C9">
        <w:t xml:space="preserve">Целта на </w:t>
      </w:r>
      <w:r>
        <w:t>тази дейност б</w:t>
      </w:r>
      <w:r w:rsidRPr="000C21C9">
        <w:t xml:space="preserve">е да бъдат реализирани мерки за изпълнение на препоръките и на плана за организационно структуриране на администрацията на МВнР. </w:t>
      </w:r>
      <w:r>
        <w:t>В хода на изпълнението й бяха</w:t>
      </w:r>
      <w:r w:rsidRPr="000C21C9">
        <w:t xml:space="preserve"> разработени предложения за актуализиране на нормативните и стратегическите документи на МВнР и </w:t>
      </w:r>
      <w:r>
        <w:t>бяха</w:t>
      </w:r>
      <w:r w:rsidRPr="000C21C9">
        <w:t xml:space="preserve"> изготвени проекти на предложения за промени в </w:t>
      </w:r>
      <w:r>
        <w:t xml:space="preserve">Закона за дипломатическата служба, </w:t>
      </w:r>
      <w:r w:rsidRPr="000C21C9">
        <w:t>устройствения правилник, длъжностното разписание, методологиите, процедурите, вътрешните правила и заповеди за работните процеси, където е необходимо.</w:t>
      </w:r>
      <w:r>
        <w:t xml:space="preserve"> </w:t>
      </w:r>
    </w:p>
    <w:p w:rsidR="00027186" w:rsidRPr="001E1B4A" w:rsidRDefault="00027186" w:rsidP="00027186">
      <w:pPr>
        <w:jc w:val="both"/>
      </w:pPr>
      <w:r>
        <w:t xml:space="preserve">Постигнати резултати: </w:t>
      </w:r>
    </w:p>
    <w:p w:rsidR="00027186" w:rsidRPr="001E1B4A" w:rsidRDefault="00027186" w:rsidP="00027186">
      <w:pPr>
        <w:pStyle w:val="bulettable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Изготв</w:t>
      </w:r>
      <w:r>
        <w:rPr>
          <w:rFonts w:asciiTheme="minorHAnsi" w:hAnsiTheme="minorHAnsi"/>
          <w:sz w:val="22"/>
          <w:szCs w:val="22"/>
        </w:rPr>
        <w:t>ени</w:t>
      </w:r>
      <w:r w:rsidRPr="001E1B4A">
        <w:rPr>
          <w:rFonts w:asciiTheme="minorHAnsi" w:hAnsiTheme="minorHAnsi"/>
          <w:sz w:val="22"/>
          <w:szCs w:val="22"/>
        </w:rPr>
        <w:t xml:space="preserve"> проекти на предложения за промени в </w:t>
      </w:r>
      <w:r>
        <w:rPr>
          <w:rFonts w:asciiTheme="minorHAnsi" w:hAnsiTheme="minorHAnsi"/>
          <w:sz w:val="22"/>
          <w:szCs w:val="22"/>
        </w:rPr>
        <w:t xml:space="preserve">Закона за дипломатическата служба, </w:t>
      </w:r>
      <w:r w:rsidRPr="001E1B4A">
        <w:rPr>
          <w:rFonts w:asciiTheme="minorHAnsi" w:hAnsiTheme="minorHAnsi"/>
          <w:sz w:val="22"/>
          <w:szCs w:val="22"/>
        </w:rPr>
        <w:t>устройствения правилник, длъжностното разписание, методологиите, процедурите, вътрешните правила и заповеди за работните процеси;</w:t>
      </w:r>
    </w:p>
    <w:p w:rsidR="00027186" w:rsidRPr="001E1B4A" w:rsidRDefault="00027186" w:rsidP="00027186">
      <w:pPr>
        <w:pStyle w:val="bulettable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1E1B4A">
        <w:rPr>
          <w:rFonts w:asciiTheme="minorHAnsi" w:hAnsiTheme="minorHAnsi"/>
          <w:sz w:val="22"/>
          <w:szCs w:val="22"/>
        </w:rPr>
        <w:t>Разработ</w:t>
      </w:r>
      <w:r>
        <w:rPr>
          <w:rFonts w:asciiTheme="minorHAnsi" w:hAnsiTheme="minorHAnsi"/>
          <w:sz w:val="22"/>
          <w:szCs w:val="22"/>
        </w:rPr>
        <w:t>ен</w:t>
      </w:r>
      <w:r w:rsidRPr="001E1B4A">
        <w:rPr>
          <w:rFonts w:asciiTheme="minorHAnsi" w:hAnsiTheme="minorHAnsi"/>
          <w:sz w:val="22"/>
          <w:szCs w:val="22"/>
        </w:rPr>
        <w:t xml:space="preserve"> проект на нов стратегически документ – пътна карта за изпълнение на препоръките и включване на предложенията в бюджетните прогнози на МВнР.</w:t>
      </w:r>
    </w:p>
    <w:p w:rsidR="00027186" w:rsidRDefault="00027186" w:rsidP="00027186">
      <w:pPr>
        <w:jc w:val="both"/>
      </w:pPr>
      <w:r w:rsidRPr="001E1B4A">
        <w:rPr>
          <w:b/>
          <w:u w:val="single"/>
        </w:rPr>
        <w:t>Дейност 5</w:t>
      </w:r>
      <w:r w:rsidRPr="001E1B4A">
        <w:rPr>
          <w:b/>
        </w:rPr>
        <w:t>:</w:t>
      </w:r>
      <w:r w:rsidRPr="001E1B4A">
        <w:t xml:space="preserve"> Провеждане на съпътстващи обучения за администрацията на МВнР</w:t>
      </w:r>
      <w:r>
        <w:t>. В рамките на тази дейност бе проведено тридневно обучение</w:t>
      </w:r>
      <w:r w:rsidRPr="00320B2F">
        <w:t>,</w:t>
      </w:r>
      <w:r>
        <w:t xml:space="preserve"> </w:t>
      </w:r>
      <w:r w:rsidRPr="000C21C9">
        <w:t>свързано с практическото реализиране на резултатите от проекта и прилагане на мерките за оптимизация</w:t>
      </w:r>
      <w:r>
        <w:t>, като са обучени 30 представители на администрацията на МВнР.</w:t>
      </w:r>
    </w:p>
    <w:p w:rsidR="00067F99" w:rsidRDefault="00067F99"/>
    <w:sectPr w:rsidR="00067F99" w:rsidSect="007D7DF9">
      <w:pgSz w:w="16838" w:h="11906" w:orient="landscape"/>
      <w:pgMar w:top="709" w:right="678" w:bottom="142" w:left="709" w:header="708" w:footer="708" w:gutter="0"/>
      <w:cols w:num="2" w:space="127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7C6"/>
    <w:multiLevelType w:val="hybridMultilevel"/>
    <w:tmpl w:val="66BE18AE"/>
    <w:lvl w:ilvl="0" w:tplc="0D98FB28">
      <w:start w:val="1"/>
      <w:numFmt w:val="bullet"/>
      <w:pStyle w:val="bulettable"/>
      <w:lvlText w:val=""/>
      <w:lvlJc w:val="left"/>
      <w:pPr>
        <w:tabs>
          <w:tab w:val="num" w:pos="983"/>
        </w:tabs>
        <w:ind w:left="983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C15C9"/>
    <w:multiLevelType w:val="hybridMultilevel"/>
    <w:tmpl w:val="0DB06656"/>
    <w:lvl w:ilvl="0" w:tplc="31B4150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0D4"/>
    <w:multiLevelType w:val="hybridMultilevel"/>
    <w:tmpl w:val="3A8EB4AC"/>
    <w:lvl w:ilvl="0" w:tplc="465CB6E4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B12B2D"/>
    <w:multiLevelType w:val="hybridMultilevel"/>
    <w:tmpl w:val="2F4CF5F4"/>
    <w:lvl w:ilvl="0" w:tplc="465CB6E4">
      <w:start w:val="1"/>
      <w:numFmt w:val="bullet"/>
      <w:lvlText w:val=""/>
      <w:lvlJc w:val="left"/>
      <w:pPr>
        <w:tabs>
          <w:tab w:val="num" w:pos="983"/>
        </w:tabs>
        <w:ind w:left="983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2130A9"/>
    <w:multiLevelType w:val="hybridMultilevel"/>
    <w:tmpl w:val="1978524A"/>
    <w:lvl w:ilvl="0" w:tplc="465CB6E4">
      <w:start w:val="1"/>
      <w:numFmt w:val="bullet"/>
      <w:lvlText w:val=""/>
      <w:lvlJc w:val="left"/>
      <w:pPr>
        <w:tabs>
          <w:tab w:val="num" w:pos="983"/>
        </w:tabs>
        <w:ind w:left="983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CD007C"/>
    <w:multiLevelType w:val="hybridMultilevel"/>
    <w:tmpl w:val="9DF67AF8"/>
    <w:lvl w:ilvl="0" w:tplc="465CB6E4">
      <w:start w:val="1"/>
      <w:numFmt w:val="bullet"/>
      <w:lvlText w:val=""/>
      <w:lvlJc w:val="left"/>
      <w:pPr>
        <w:tabs>
          <w:tab w:val="num" w:pos="983"/>
        </w:tabs>
        <w:ind w:left="983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027186"/>
    <w:rsid w:val="00027186"/>
    <w:rsid w:val="00067F99"/>
    <w:rsid w:val="000F0759"/>
    <w:rsid w:val="00142143"/>
    <w:rsid w:val="0016748A"/>
    <w:rsid w:val="0033701F"/>
    <w:rsid w:val="0036585E"/>
    <w:rsid w:val="005258E7"/>
    <w:rsid w:val="00617418"/>
    <w:rsid w:val="00675B45"/>
    <w:rsid w:val="007D7DF9"/>
    <w:rsid w:val="008A48D6"/>
    <w:rsid w:val="00DC7EB2"/>
    <w:rsid w:val="00EB0A08"/>
    <w:rsid w:val="00F1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table">
    <w:name w:val="bulet_table"/>
    <w:basedOn w:val="Normal"/>
    <w:qFormat/>
    <w:rsid w:val="00027186"/>
    <w:pPr>
      <w:numPr>
        <w:numId w:val="1"/>
      </w:numPr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qFormat/>
    <w:rsid w:val="00027186"/>
    <w:pPr>
      <w:suppressAutoHyphens/>
      <w:spacing w:before="120" w:after="120" w:line="280" w:lineRule="atLeast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71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262C-DEAC-40FE-8E10-1D255FC9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GValchanov</dc:creator>
  <cp:keywords/>
  <dc:description/>
  <cp:lastModifiedBy>dblagoev</cp:lastModifiedBy>
  <cp:revision>2</cp:revision>
  <cp:lastPrinted>2015-12-08T11:34:00Z</cp:lastPrinted>
  <dcterms:created xsi:type="dcterms:W3CDTF">2015-12-21T10:53:00Z</dcterms:created>
  <dcterms:modified xsi:type="dcterms:W3CDTF">2015-12-21T10:53:00Z</dcterms:modified>
</cp:coreProperties>
</file>